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643" w:firstLineChars="200"/>
        <w:rPr>
          <w:rFonts w:hint="eastAsia" w:ascii="仿宋_GB2312" w:hAnsi="等线" w:eastAsia="仿宋_GB2312" w:cs="华文中宋"/>
          <w:b/>
          <w:bCs/>
          <w:sz w:val="32"/>
          <w:szCs w:val="32"/>
        </w:rPr>
      </w:pPr>
      <w:bookmarkStart w:id="0" w:name="zhengwen"/>
      <w:r>
        <w:rPr>
          <w:rFonts w:hint="eastAsia" w:ascii="仿宋_GB2312" w:hAnsi="等线" w:eastAsia="仿宋_GB2312" w:cs="华文中宋"/>
          <w:b/>
          <w:bCs/>
          <w:sz w:val="32"/>
          <w:szCs w:val="32"/>
        </w:rPr>
        <w:t xml:space="preserve"> </w:t>
      </w:r>
    </w:p>
    <w:p>
      <w:pPr>
        <w:spacing w:line="576" w:lineRule="exact"/>
        <w:ind w:firstLine="643" w:firstLineChars="200"/>
        <w:rPr>
          <w:rFonts w:ascii="仿宋_GB2312" w:hAnsi="等线" w:eastAsia="仿宋_GB2312" w:cs="华文中宋"/>
          <w:b/>
          <w:bCs/>
          <w:sz w:val="32"/>
          <w:szCs w:val="32"/>
        </w:rPr>
      </w:pPr>
    </w:p>
    <w:p>
      <w:pPr>
        <w:spacing w:line="576" w:lineRule="exact"/>
        <w:ind w:firstLine="643" w:firstLineChars="200"/>
        <w:rPr>
          <w:rFonts w:hint="eastAsia" w:ascii="仿宋_GB2312" w:hAnsi="等线" w:eastAsia="仿宋_GB2312" w:cs="华文中宋"/>
          <w:b/>
          <w:bCs/>
          <w:sz w:val="32"/>
          <w:szCs w:val="32"/>
        </w:rPr>
      </w:pPr>
    </w:p>
    <w:p>
      <w:pPr>
        <w:spacing w:line="576" w:lineRule="exact"/>
        <w:rPr>
          <w:rFonts w:ascii="宋体" w:hAnsi="宋体" w:cs="华文中宋"/>
          <w:b/>
          <w:bCs/>
          <w:sz w:val="44"/>
          <w:szCs w:val="44"/>
        </w:rPr>
      </w:pPr>
      <w:r>
        <w:rPr>
          <w:rFonts w:hint="eastAsia" w:ascii="宋体" w:hAnsi="宋体" w:cs="华文中宋"/>
          <w:b/>
          <w:bCs/>
          <w:sz w:val="44"/>
          <w:szCs w:val="44"/>
        </w:rPr>
        <w:t>湖南铁道职业技术学院2024年高职单招章程</w:t>
      </w:r>
    </w:p>
    <w:p>
      <w:pPr>
        <w:spacing w:line="576" w:lineRule="exact"/>
        <w:ind w:firstLine="4176" w:firstLineChars="1300"/>
        <w:rPr>
          <w:rFonts w:hint="eastAsia" w:ascii="仿宋_GB2312" w:hAnsi="仿宋" w:eastAsia="仿宋_GB2312" w:cs="仿宋"/>
          <w:b/>
          <w:bCs/>
          <w:sz w:val="32"/>
          <w:szCs w:val="32"/>
        </w:rPr>
      </w:pPr>
      <w:r>
        <w:rPr>
          <w:rFonts w:hint="eastAsia" w:ascii="仿宋_GB2312" w:hAnsi="仿宋" w:eastAsia="仿宋_GB2312" w:cs="仿宋"/>
          <w:b/>
          <w:bCs/>
          <w:sz w:val="32"/>
          <w:szCs w:val="32"/>
        </w:rPr>
        <w:t>总 则</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学校全称：湖南铁道职业技术学院 </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办学地点：田心校区（株洲市石峰区田心路18号）</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 </w:t>
      </w:r>
      <w:r>
        <w:rPr>
          <w:rFonts w:ascii="仿宋_GB2312" w:hAnsi="等线" w:eastAsia="仿宋_GB2312" w:cs="仿宋"/>
          <w:sz w:val="32"/>
          <w:szCs w:val="32"/>
        </w:rPr>
        <w:t xml:space="preserve">         </w:t>
      </w:r>
      <w:r>
        <w:rPr>
          <w:rFonts w:hint="eastAsia" w:ascii="仿宋_GB2312" w:hAnsi="等线" w:eastAsia="仿宋_GB2312" w:cs="仿宋"/>
          <w:sz w:val="32"/>
          <w:szCs w:val="32"/>
        </w:rPr>
        <w:t>云龙校区（株洲市石峰区田心大道1111号）</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主管部门：湖南省教育厅 </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办学层次：高职（专科）</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湖南省院校代号：4364 </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办学类型：公办  </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颁发学历证书的学校名称：湖南铁道职业技术学院 。证书种类：普通高等学校全日制专科毕业证书。</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学校单招工作遵循“公平竞争、公正选拔、公开透明”的原则，坚决执行招生政策规定和纪律要求，严格实施考试招生“阳光工程”。</w:t>
      </w:r>
    </w:p>
    <w:p>
      <w:pPr>
        <w:numPr>
          <w:ilvl w:val="0"/>
          <w:numId w:val="2"/>
        </w:numPr>
        <w:spacing w:line="576" w:lineRule="exact"/>
        <w:ind w:firstLine="640" w:firstLineChars="200"/>
        <w:rPr>
          <w:rFonts w:hint="eastAsia" w:ascii="仿宋_GB2312" w:hAnsi="仿宋" w:eastAsia="仿宋_GB2312" w:cs="仿宋"/>
          <w:sz w:val="32"/>
          <w:szCs w:val="32"/>
        </w:rPr>
      </w:pPr>
      <w:r>
        <w:rPr>
          <w:rFonts w:hint="eastAsia" w:ascii="仿宋_GB2312" w:hAnsi="等线" w:eastAsia="仿宋_GB2312" w:cs="仿宋"/>
          <w:sz w:val="32"/>
          <w:szCs w:val="32"/>
        </w:rPr>
        <w:t>学校简介：湖南铁道职业技术学院始建于1951年，是一所以工科专业为主，文管经等专业共同发展的公办综合性高职院校。2006年立项国家首批示范性高职院校，2015年7月立项湖南省首批卓越院校建设单位，2019年入选国家优质高职院校，2019年入选中国特色高水平高职学校建设单位。学校是首个国家重大行业产教融合共同体“国家轨道交通装备行业产教融合共同体”副理事长单位，职业院校牵头单位。被评为教育部现代学徒制试点学校，教育部数字化试点校，是全国职教师资培训基地、国家级双师型教师培训基地、国家骨干教师师资培训基地、中德师资培训国内基地、国家高职高专先进制造技术学生实训（师资培训）基地、首批“国家高技能人才培训基地”。</w:t>
      </w:r>
    </w:p>
    <w:p>
      <w:pPr>
        <w:spacing w:line="576"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第二章  组织机构及职责</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 学校单独招生工作领导小组负责研究决定本校单招规模确定、政策制订等重大事项，学校招生就业处负责单招组织实施的日常工作，学校教务处负责单招的考试组织工作。</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学校纪检监察处负责全程监督检查单招工作。</w:t>
      </w:r>
    </w:p>
    <w:p>
      <w:pPr>
        <w:spacing w:line="576"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第三章 单招报考</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全省单招统一报考和填报志愿时间为</w:t>
      </w:r>
      <w:r>
        <w:rPr>
          <w:rFonts w:hint="eastAsia" w:ascii="仿宋_GB2312" w:hAnsi="等线" w:eastAsia="仿宋_GB2312" w:cs="仿宋"/>
          <w:b/>
          <w:bCs/>
          <w:sz w:val="32"/>
          <w:szCs w:val="32"/>
        </w:rPr>
        <w:t>2024年2月27日－3月5日</w:t>
      </w:r>
      <w:r>
        <w:rPr>
          <w:rFonts w:hint="eastAsia" w:ascii="仿宋_GB2312" w:hAnsi="等线" w:eastAsia="仿宋_GB2312" w:cs="仿宋"/>
          <w:sz w:val="32"/>
          <w:szCs w:val="32"/>
        </w:rPr>
        <w:t>，实行网上报考和填报志愿。单招报考设第一志愿和第二志愿，考生可选择1－2所院校在指定网上平台进行报考。</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_GB2312" w:hAnsi="仿宋" w:eastAsia="仿宋_GB2312" w:cs="仿宋"/>
          <w:sz w:val="32"/>
          <w:szCs w:val="32"/>
        </w:rPr>
        <w:t>。</w:t>
      </w:r>
      <w:r>
        <w:rPr>
          <w:rFonts w:hint="eastAsia" w:ascii="仿宋_GB2312" w:hAnsi="等线" w:eastAsia="仿宋_GB2312" w:cs="仿宋"/>
          <w:sz w:val="32"/>
          <w:szCs w:val="32"/>
        </w:rPr>
        <w:t>请考生在报考前关注本校招生网（http://zs.hnrpc.com/）公布的有关信息。</w:t>
      </w:r>
    </w:p>
    <w:p>
      <w:pPr>
        <w:numPr>
          <w:ilvl w:val="0"/>
          <w:numId w:val="2"/>
        </w:num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填报专业要求。学校实行专业组志愿，普通类计划专业组填报专业要求如下：</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1.报考专业组一或专业组二的考生只能选择</w:t>
      </w:r>
      <w:r>
        <w:rPr>
          <w:rFonts w:hint="eastAsia" w:ascii="仿宋_GB2312" w:hAnsi="等线" w:eastAsia="仿宋_GB2312" w:cs="仿宋"/>
          <w:b/>
          <w:bCs/>
          <w:sz w:val="32"/>
          <w:szCs w:val="32"/>
        </w:rPr>
        <w:t>同一个</w:t>
      </w:r>
      <w:r>
        <w:rPr>
          <w:rFonts w:hint="eastAsia" w:ascii="仿宋_GB2312" w:hAnsi="等线" w:eastAsia="仿宋_GB2312" w:cs="仿宋"/>
          <w:sz w:val="32"/>
          <w:szCs w:val="32"/>
        </w:rPr>
        <w:t>专业组中的</w:t>
      </w:r>
      <w:r>
        <w:rPr>
          <w:rFonts w:hint="eastAsia" w:ascii="仿宋_GB2312" w:hAnsi="等线" w:eastAsia="仿宋_GB2312" w:cs="仿宋"/>
          <w:b/>
          <w:bCs/>
          <w:sz w:val="32"/>
          <w:szCs w:val="32"/>
        </w:rPr>
        <w:t>一至六个</w:t>
      </w:r>
      <w:r>
        <w:rPr>
          <w:rFonts w:hint="eastAsia" w:ascii="仿宋_GB2312" w:hAnsi="等线" w:eastAsia="仿宋_GB2312" w:cs="仿宋"/>
          <w:sz w:val="32"/>
          <w:szCs w:val="32"/>
        </w:rPr>
        <w:t>专业，并确定是否选择专业服从调剂；</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2.报考专业组三（现代学徒制）的考生只能选择专业组三（现代学徒制）中的</w:t>
      </w:r>
      <w:r>
        <w:rPr>
          <w:rFonts w:hint="eastAsia" w:ascii="仿宋_GB2312" w:hAnsi="等线" w:eastAsia="仿宋_GB2312" w:cs="仿宋"/>
          <w:b/>
          <w:bCs/>
          <w:sz w:val="32"/>
          <w:szCs w:val="32"/>
        </w:rPr>
        <w:t>一个</w:t>
      </w:r>
      <w:r>
        <w:rPr>
          <w:rFonts w:hint="eastAsia" w:ascii="仿宋_GB2312" w:hAnsi="等线" w:eastAsia="仿宋_GB2312" w:cs="仿宋"/>
          <w:sz w:val="32"/>
          <w:szCs w:val="32"/>
        </w:rPr>
        <w:t>专业，多填无效且不调剂（即录取时只参考第一专业志愿）。</w:t>
      </w:r>
    </w:p>
    <w:p>
      <w:pPr>
        <w:widowControl/>
        <w:spacing w:line="576"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单列计划专业组填报专业要求</w:t>
      </w:r>
      <w:r>
        <w:rPr>
          <w:rFonts w:hint="eastAsia" w:ascii="仿宋_GB2312" w:hAnsi="等线" w:eastAsia="仿宋_GB2312" w:cs="仿宋"/>
          <w:sz w:val="32"/>
          <w:szCs w:val="32"/>
        </w:rPr>
        <w:t>如下：</w:t>
      </w:r>
    </w:p>
    <w:p>
      <w:pPr>
        <w:widowControl/>
        <w:spacing w:line="576"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报考专业组四（退役军人）、专业组五（艺术特长）、专业组六（体育特长）的</w:t>
      </w:r>
      <w:r>
        <w:rPr>
          <w:rFonts w:hint="eastAsia" w:ascii="仿宋_GB2312" w:hAnsi="等线" w:eastAsia="仿宋_GB2312" w:cs="仿宋"/>
          <w:sz w:val="32"/>
          <w:szCs w:val="32"/>
        </w:rPr>
        <w:t>考生</w:t>
      </w:r>
      <w:r>
        <w:rPr>
          <w:rFonts w:hint="eastAsia" w:ascii="仿宋_GB2312" w:hAnsi="仿宋" w:eastAsia="仿宋_GB2312" w:cs="宋体"/>
          <w:kern w:val="0"/>
          <w:sz w:val="32"/>
          <w:szCs w:val="32"/>
        </w:rPr>
        <w:t>可在专业组一和专业组二</w:t>
      </w:r>
      <w:r>
        <w:rPr>
          <w:rFonts w:hint="eastAsia" w:ascii="仿宋_GB2312" w:hAnsi="等线" w:eastAsia="仿宋_GB2312" w:cs="宋体"/>
          <w:kern w:val="0"/>
          <w:sz w:val="32"/>
          <w:szCs w:val="32"/>
        </w:rPr>
        <w:t>内自行选择</w:t>
      </w:r>
      <w:r>
        <w:rPr>
          <w:rFonts w:hint="eastAsia" w:ascii="仿宋_GB2312" w:hAnsi="等线" w:eastAsia="仿宋_GB2312" w:cs="宋体"/>
          <w:b/>
          <w:bCs/>
          <w:kern w:val="0"/>
          <w:sz w:val="32"/>
          <w:szCs w:val="32"/>
        </w:rPr>
        <w:t>一至六个</w:t>
      </w:r>
      <w:r>
        <w:rPr>
          <w:rFonts w:hint="eastAsia" w:ascii="仿宋_GB2312" w:hAnsi="等线" w:eastAsia="仿宋_GB2312" w:cs="宋体"/>
          <w:kern w:val="0"/>
          <w:sz w:val="32"/>
          <w:szCs w:val="32"/>
        </w:rPr>
        <w:t>专业报考，</w:t>
      </w:r>
      <w:r>
        <w:rPr>
          <w:rFonts w:hint="eastAsia" w:ascii="仿宋_GB2312" w:hAnsi="Calibri" w:eastAsia="仿宋_GB2312" w:cs="仿宋"/>
          <w:sz w:val="32"/>
          <w:szCs w:val="32"/>
        </w:rPr>
        <w:t>并确定是否选择专业服从调剂</w:t>
      </w:r>
      <w:r>
        <w:rPr>
          <w:rFonts w:hint="eastAsia" w:ascii="仿宋_GB2312" w:hAnsi="等线" w:eastAsia="仿宋_GB2312" w:cs="宋体"/>
          <w:kern w:val="0"/>
          <w:sz w:val="32"/>
          <w:szCs w:val="32"/>
        </w:rPr>
        <w:t>。</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第十一条 </w:t>
      </w:r>
      <w:r>
        <w:rPr>
          <w:rFonts w:hint="eastAsia" w:ascii="仿宋_GB2312" w:hAnsi="等线" w:eastAsia="仿宋_GB2312" w:cs="仿宋"/>
          <w:sz w:val="32"/>
          <w:szCs w:val="32"/>
        </w:rPr>
        <w:t>退役军人身份认定。退役军人由户籍所在县（市、区）退役军人事务部门进行认定。相关证明材料由考生在规定时间内提供给学校审核，不能按要求提供证明材料的考生只能以普通高中往届生或同等学力人员身份报考，提供虚假证明材料的将依据教育部相关规定取消高考报名资格，已录取的取消录取资格。</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1.退役军人考生资格证明材料。退役军人考生均须提供本人身份证、退出现役证（转业证）复印件及《湖南省2024年高职单招报名身份审核（界定）表》原件。</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2.材料提交时间及方式。考生须在2024年</w:t>
      </w:r>
      <w:r>
        <w:rPr>
          <w:rFonts w:hint="eastAsia" w:ascii="仿宋_GB2312" w:hAnsi="等线" w:eastAsia="仿宋_GB2312" w:cs="仿宋"/>
          <w:b/>
          <w:bCs/>
          <w:sz w:val="32"/>
          <w:szCs w:val="32"/>
        </w:rPr>
        <w:t>2月28- 29日</w:t>
      </w:r>
      <w:r>
        <w:rPr>
          <w:rFonts w:hint="eastAsia" w:ascii="仿宋_GB2312" w:hAnsi="等线" w:eastAsia="仿宋_GB2312" w:cs="仿宋"/>
          <w:sz w:val="32"/>
          <w:szCs w:val="32"/>
        </w:rPr>
        <w:t xml:space="preserve">两天将符合上述要求的证明材料，通过 </w:t>
      </w:r>
      <w:r>
        <w:rPr>
          <w:rFonts w:hint="eastAsia" w:ascii="仿宋_GB2312" w:hAnsi="等线" w:eastAsia="仿宋_GB2312" w:cs="仿宋"/>
          <w:b/>
          <w:bCs/>
          <w:sz w:val="32"/>
          <w:szCs w:val="32"/>
        </w:rPr>
        <w:t>现场提交</w:t>
      </w:r>
      <w:r>
        <w:rPr>
          <w:rFonts w:hint="eastAsia" w:ascii="仿宋_GB2312" w:hAnsi="等线" w:eastAsia="仿宋_GB2312" w:cs="仿宋"/>
          <w:sz w:val="32"/>
          <w:szCs w:val="32"/>
        </w:rPr>
        <w:t xml:space="preserve"> 方式提交学校</w:t>
      </w:r>
      <w:r>
        <w:rPr>
          <w:rFonts w:hint="eastAsia" w:ascii="仿宋_GB2312" w:eastAsia="仿宋_GB2312" w:cs="仿宋"/>
          <w:sz w:val="32"/>
          <w:szCs w:val="32"/>
        </w:rPr>
        <w:t>招生就业处（云龙校区公教楼118办公室），过期不再接收材料。学校统一组织审核，</w:t>
      </w:r>
      <w:r>
        <w:rPr>
          <w:rFonts w:hint="eastAsia" w:ascii="仿宋_GB2312" w:hAnsi="等线" w:eastAsia="仿宋_GB2312" w:cs="仿宋"/>
          <w:b/>
          <w:bCs/>
          <w:sz w:val="32"/>
          <w:szCs w:val="32"/>
        </w:rPr>
        <w:t>3月2日</w:t>
      </w:r>
      <w:r>
        <w:rPr>
          <w:rFonts w:hint="eastAsia" w:ascii="仿宋_GB2312" w:eastAsia="仿宋_GB2312" w:cs="仿宋"/>
          <w:sz w:val="32"/>
          <w:szCs w:val="32"/>
        </w:rPr>
        <w:t>公布通过审核的具有</w:t>
      </w:r>
      <w:r>
        <w:rPr>
          <w:rFonts w:hint="eastAsia" w:ascii="仿宋_GB2312" w:hAnsi="等线" w:eastAsia="仿宋_GB2312" w:cs="仿宋"/>
          <w:sz w:val="32"/>
          <w:szCs w:val="32"/>
        </w:rPr>
        <w:t>退役军人</w:t>
      </w:r>
      <w:r>
        <w:rPr>
          <w:rFonts w:hint="eastAsia" w:ascii="仿宋_GB2312" w:eastAsia="仿宋_GB2312" w:cs="仿宋"/>
          <w:sz w:val="32"/>
          <w:szCs w:val="32"/>
        </w:rPr>
        <w:t>报考资格考生名单，未通过审核的考生只能报考学校普通类或其他院校单招。</w:t>
      </w:r>
      <w:r>
        <w:rPr>
          <w:rFonts w:hint="eastAsia" w:ascii="仿宋_GB2312" w:hAnsi="等线" w:eastAsia="仿宋_GB2312" w:cs="仿宋"/>
          <w:sz w:val="32"/>
          <w:szCs w:val="32"/>
        </w:rPr>
        <w:t>（联系方式：0731-22783888）。</w:t>
      </w:r>
    </w:p>
    <w:p>
      <w:pPr>
        <w:spacing w:line="576"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第四章  单招计划及专业</w:t>
      </w:r>
    </w:p>
    <w:p>
      <w:pPr>
        <w:widowControl/>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第十二条 </w:t>
      </w:r>
      <w:r>
        <w:rPr>
          <w:rFonts w:hint="eastAsia" w:ascii="仿宋_GB2312" w:hAnsi="等线" w:eastAsia="仿宋_GB2312" w:cs="仿宋"/>
          <w:sz w:val="32"/>
          <w:szCs w:val="32"/>
        </w:rPr>
        <w:t xml:space="preserve">学校2024年单招总计划数为 </w:t>
      </w:r>
      <w:r>
        <w:rPr>
          <w:rFonts w:hint="eastAsia" w:ascii="仿宋_GB2312" w:hAnsi="等线" w:eastAsia="仿宋_GB2312" w:cs="仿宋"/>
          <w:b/>
          <w:bCs/>
          <w:sz w:val="32"/>
          <w:szCs w:val="32"/>
        </w:rPr>
        <w:t>1600</w:t>
      </w:r>
      <w:r>
        <w:rPr>
          <w:rFonts w:hint="eastAsia" w:ascii="仿宋_GB2312" w:hAnsi="等线" w:eastAsia="仿宋_GB2312" w:cs="仿宋"/>
          <w:sz w:val="32"/>
          <w:szCs w:val="32"/>
        </w:rPr>
        <w:t xml:space="preserve"> 人，其中包含单列计划的退役军人 8人、艺术体育特长生分别为 艺术特长生31人、体育特长生31人。本校2024年招生专业共41个。分专业单招计划及学费标准如下表，各专业最终学费标准以2024年湖南省物价主管部门审核为准。</w:t>
      </w:r>
    </w:p>
    <w:p>
      <w:pPr>
        <w:widowControl/>
        <w:spacing w:line="576" w:lineRule="exact"/>
        <w:ind w:firstLine="643" w:firstLineChars="200"/>
        <w:rPr>
          <w:rFonts w:hint="eastAsia" w:ascii="仿宋_GB2312" w:hAnsi="等线" w:eastAsia="仿宋_GB2312" w:cs="仿宋"/>
          <w:b/>
          <w:bCs/>
          <w:sz w:val="32"/>
          <w:szCs w:val="32"/>
        </w:rPr>
      </w:pPr>
      <w:r>
        <w:rPr>
          <w:rFonts w:hint="eastAsia" w:ascii="仿宋_GB2312" w:hAnsi="等线" w:eastAsia="仿宋_GB2312" w:cs="仿宋"/>
          <w:b/>
          <w:bCs/>
          <w:sz w:val="32"/>
          <w:szCs w:val="32"/>
        </w:rPr>
        <w:t>普通类计划及专业组</w:t>
      </w:r>
    </w:p>
    <w:tbl>
      <w:tblPr>
        <w:tblStyle w:val="10"/>
        <w:tblW w:w="8285" w:type="dxa"/>
        <w:jc w:val="center"/>
        <w:tblLayout w:type="fixed"/>
        <w:tblCellMar>
          <w:top w:w="0" w:type="dxa"/>
          <w:left w:w="108" w:type="dxa"/>
          <w:bottom w:w="0" w:type="dxa"/>
          <w:right w:w="108" w:type="dxa"/>
        </w:tblCellMar>
      </w:tblPr>
      <w:tblGrid>
        <w:gridCol w:w="2217"/>
        <w:gridCol w:w="4020"/>
        <w:gridCol w:w="985"/>
        <w:gridCol w:w="1063"/>
      </w:tblGrid>
      <w:tr>
        <w:tblPrEx>
          <w:tblCellMar>
            <w:top w:w="0" w:type="dxa"/>
            <w:left w:w="108" w:type="dxa"/>
            <w:bottom w:w="0" w:type="dxa"/>
            <w:right w:w="108" w:type="dxa"/>
          </w:tblCellMar>
        </w:tblPrEx>
        <w:trPr>
          <w:trHeight w:val="662" w:hRule="exact"/>
          <w:jc w:val="center"/>
        </w:trPr>
        <w:tc>
          <w:tcPr>
            <w:tcW w:w="221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firstLine="632" w:firstLineChars="300"/>
              <w:textAlignment w:val="center"/>
              <w:rPr>
                <w:rFonts w:hint="eastAsia" w:ascii="宋体" w:hAnsi="宋体" w:cs="宋体"/>
                <w:b/>
                <w:kern w:val="0"/>
                <w:szCs w:val="21"/>
              </w:rPr>
            </w:pPr>
            <w:r>
              <w:rPr>
                <w:rFonts w:hint="eastAsia" w:ascii="宋体" w:hAnsi="宋体" w:cs="宋体"/>
                <w:b/>
                <w:bCs/>
                <w:kern w:val="0"/>
                <w:szCs w:val="21"/>
                <w:lang w:bidi="ar"/>
              </w:rPr>
              <w:t>专业组</w:t>
            </w:r>
          </w:p>
        </w:tc>
        <w:tc>
          <w:tcPr>
            <w:tcW w:w="4020" w:type="dxa"/>
            <w:tcBorders>
              <w:top w:val="single" w:color="auto" w:sz="4" w:space="0"/>
              <w:left w:val="nil"/>
              <w:bottom w:val="single" w:color="auto" w:sz="4" w:space="0"/>
              <w:right w:val="single" w:color="auto" w:sz="4" w:space="0"/>
            </w:tcBorders>
            <w:noWrap/>
            <w:vAlign w:val="center"/>
          </w:tcPr>
          <w:p>
            <w:pPr>
              <w:widowControl/>
              <w:spacing w:line="320" w:lineRule="exact"/>
              <w:ind w:firstLine="1265" w:firstLineChars="600"/>
              <w:textAlignment w:val="center"/>
              <w:rPr>
                <w:rFonts w:hint="eastAsia" w:ascii="宋体" w:hAnsi="宋体" w:cs="宋体"/>
                <w:b/>
                <w:kern w:val="0"/>
                <w:szCs w:val="21"/>
              </w:rPr>
            </w:pPr>
            <w:r>
              <w:rPr>
                <w:rFonts w:hint="eastAsia" w:ascii="宋体" w:hAnsi="宋体" w:cs="宋体"/>
                <w:b/>
                <w:bCs/>
                <w:kern w:val="0"/>
                <w:szCs w:val="21"/>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b/>
                <w:kern w:val="0"/>
                <w:szCs w:val="21"/>
              </w:rPr>
            </w:pPr>
            <w:r>
              <w:rPr>
                <w:rFonts w:hint="eastAsia" w:ascii="宋体" w:hAnsi="宋体" w:cs="宋体"/>
                <w:b/>
                <w:bCs/>
                <w:kern w:val="0"/>
                <w:szCs w:val="21"/>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b/>
                <w:kern w:val="0"/>
                <w:szCs w:val="21"/>
              </w:rPr>
            </w:pPr>
            <w:r>
              <w:rPr>
                <w:rFonts w:hint="eastAsia" w:ascii="宋体" w:hAnsi="宋体" w:cs="宋体"/>
                <w:b/>
                <w:bCs/>
                <w:kern w:val="0"/>
                <w:szCs w:val="21"/>
                <w:lang w:bidi="ar"/>
              </w:rPr>
              <w:t>学费（元/年）</w:t>
            </w:r>
          </w:p>
        </w:tc>
      </w:tr>
      <w:tr>
        <w:tblPrEx>
          <w:tblCellMar>
            <w:top w:w="0" w:type="dxa"/>
            <w:left w:w="108" w:type="dxa"/>
            <w:bottom w:w="0" w:type="dxa"/>
            <w:right w:w="108" w:type="dxa"/>
          </w:tblCellMar>
        </w:tblPrEx>
        <w:trPr>
          <w:trHeight w:val="335" w:hRule="exact"/>
          <w:jc w:val="center"/>
        </w:trPr>
        <w:tc>
          <w:tcPr>
            <w:tcW w:w="2217" w:type="dxa"/>
            <w:vMerge w:val="restart"/>
            <w:tcBorders>
              <w:top w:val="nil"/>
              <w:left w:val="single" w:color="auto" w:sz="4" w:space="0"/>
              <w:right w:val="single" w:color="auto" w:sz="4" w:space="0"/>
            </w:tcBorders>
            <w:noWrap/>
            <w:vAlign w:val="center"/>
          </w:tcPr>
          <w:p>
            <w:pPr>
              <w:widowControl/>
              <w:spacing w:line="320" w:lineRule="exact"/>
              <w:ind w:firstLine="420" w:firstLineChars="200"/>
              <w:textAlignment w:val="center"/>
              <w:rPr>
                <w:rFonts w:hint="eastAsia" w:ascii="宋体" w:hAnsi="宋体" w:cs="宋体"/>
                <w:kern w:val="0"/>
                <w:szCs w:val="21"/>
              </w:rPr>
            </w:pPr>
            <w:r>
              <w:rPr>
                <w:rFonts w:hint="eastAsia" w:ascii="宋体" w:hAnsi="宋体" w:cs="宋体"/>
                <w:kern w:val="0"/>
                <w:szCs w:val="21"/>
                <w:lang w:bidi="ar"/>
              </w:rPr>
              <w:t>专业组一</w:t>
            </w: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szCs w:val="21"/>
              </w:rPr>
            </w:pPr>
            <w:r>
              <w:rPr>
                <w:rFonts w:hint="eastAsia" w:ascii="宋体" w:hAnsi="宋体"/>
                <w:szCs w:val="21"/>
              </w:rPr>
              <w:t>大数据与会计</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kern w:val="0"/>
                <w:szCs w:val="21"/>
              </w:rPr>
            </w:pPr>
            <w:r>
              <w:rPr>
                <w:rFonts w:hint="eastAsia" w:ascii="宋体" w:hAnsi="宋体"/>
                <w:szCs w:val="21"/>
              </w:rPr>
              <w:t>3500</w:t>
            </w:r>
          </w:p>
        </w:tc>
      </w:tr>
      <w:tr>
        <w:tblPrEx>
          <w:tblCellMar>
            <w:top w:w="0" w:type="dxa"/>
            <w:left w:w="108" w:type="dxa"/>
            <w:bottom w:w="0" w:type="dxa"/>
            <w:right w:w="108" w:type="dxa"/>
          </w:tblCellMar>
        </w:tblPrEx>
        <w:trPr>
          <w:trHeight w:val="370"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szCs w:val="21"/>
              </w:rPr>
            </w:pPr>
            <w:r>
              <w:rPr>
                <w:rFonts w:hint="eastAsia" w:ascii="宋体" w:hAnsi="宋体"/>
                <w:szCs w:val="21"/>
              </w:rPr>
              <w:t>电子商务</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3500</w:t>
            </w:r>
          </w:p>
        </w:tc>
      </w:tr>
      <w:tr>
        <w:tblPrEx>
          <w:tblCellMar>
            <w:top w:w="0" w:type="dxa"/>
            <w:left w:w="108" w:type="dxa"/>
            <w:bottom w:w="0" w:type="dxa"/>
            <w:right w:w="108" w:type="dxa"/>
          </w:tblCellMar>
        </w:tblPrEx>
        <w:trPr>
          <w:trHeight w:val="338"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szCs w:val="21"/>
              </w:rPr>
            </w:pPr>
            <w:r>
              <w:rPr>
                <w:rFonts w:hint="eastAsia" w:ascii="宋体" w:hAnsi="宋体"/>
                <w:szCs w:val="21"/>
              </w:rPr>
              <w:t>商务英语</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3200</w:t>
            </w:r>
          </w:p>
        </w:tc>
      </w:tr>
      <w:tr>
        <w:tblPrEx>
          <w:tblCellMar>
            <w:top w:w="0" w:type="dxa"/>
            <w:left w:w="108" w:type="dxa"/>
            <w:bottom w:w="0" w:type="dxa"/>
            <w:right w:w="108" w:type="dxa"/>
          </w:tblCellMar>
        </w:tblPrEx>
        <w:trPr>
          <w:trHeight w:val="348"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szCs w:val="21"/>
              </w:rPr>
            </w:pPr>
            <w:r>
              <w:rPr>
                <w:rFonts w:hint="eastAsia" w:ascii="宋体" w:hAnsi="宋体"/>
                <w:szCs w:val="21"/>
              </w:rPr>
              <w:t>铁路物流管理</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3500</w:t>
            </w:r>
          </w:p>
        </w:tc>
      </w:tr>
      <w:tr>
        <w:tblPrEx>
          <w:tblCellMar>
            <w:top w:w="0" w:type="dxa"/>
            <w:left w:w="108" w:type="dxa"/>
            <w:bottom w:w="0" w:type="dxa"/>
            <w:right w:w="108" w:type="dxa"/>
          </w:tblCellMar>
        </w:tblPrEx>
        <w:trPr>
          <w:trHeight w:val="392"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szCs w:val="21"/>
              </w:rPr>
            </w:pPr>
            <w:r>
              <w:rPr>
                <w:rFonts w:hint="eastAsia" w:ascii="宋体" w:hAnsi="宋体"/>
                <w:szCs w:val="21"/>
              </w:rPr>
              <w:t>商务数据分析与应用</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3500</w:t>
            </w:r>
          </w:p>
        </w:tc>
      </w:tr>
      <w:tr>
        <w:tblPrEx>
          <w:tblCellMar>
            <w:top w:w="0" w:type="dxa"/>
            <w:left w:w="108" w:type="dxa"/>
            <w:bottom w:w="0" w:type="dxa"/>
            <w:right w:w="108" w:type="dxa"/>
          </w:tblCellMar>
        </w:tblPrEx>
        <w:trPr>
          <w:trHeight w:val="392"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城市轨道交通运营管理</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50" w:hRule="exact"/>
          <w:jc w:val="center"/>
        </w:trPr>
        <w:tc>
          <w:tcPr>
            <w:tcW w:w="2217" w:type="dxa"/>
            <w:vMerge w:val="continue"/>
            <w:tcBorders>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铁道交通运营管理</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58" w:hRule="exact"/>
          <w:jc w:val="center"/>
        </w:trPr>
        <w:tc>
          <w:tcPr>
            <w:tcW w:w="2217" w:type="dxa"/>
            <w:vMerge w:val="restart"/>
            <w:tcBorders>
              <w:top w:val="nil"/>
              <w:left w:val="single" w:color="auto" w:sz="4" w:space="0"/>
              <w:right w:val="single" w:color="auto" w:sz="4" w:space="0"/>
            </w:tcBorders>
            <w:noWrap/>
            <w:vAlign w:val="center"/>
          </w:tcPr>
          <w:p>
            <w:pPr>
              <w:widowControl/>
              <w:spacing w:line="320" w:lineRule="exact"/>
              <w:ind w:firstLine="420" w:firstLineChars="200"/>
              <w:textAlignment w:val="center"/>
              <w:rPr>
                <w:rFonts w:hint="eastAsia" w:ascii="宋体" w:hAnsi="宋体" w:cs="宋体"/>
                <w:kern w:val="0"/>
                <w:szCs w:val="21"/>
              </w:rPr>
            </w:pPr>
            <w:r>
              <w:rPr>
                <w:rFonts w:hint="eastAsia" w:ascii="宋体" w:hAnsi="宋体" w:cs="宋体"/>
                <w:kern w:val="0"/>
                <w:szCs w:val="21"/>
                <w:lang w:bidi="ar"/>
              </w:rPr>
              <w:t>专业组二</w:t>
            </w:r>
          </w:p>
        </w:tc>
        <w:tc>
          <w:tcPr>
            <w:tcW w:w="4020"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铁道机车运用与维护</w:t>
            </w: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60</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338"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single" w:color="auto" w:sz="4" w:space="0"/>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城市轨道车辆应用技术</w:t>
            </w:r>
          </w:p>
        </w:tc>
        <w:tc>
          <w:tcPr>
            <w:tcW w:w="985"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50</w:t>
            </w:r>
          </w:p>
        </w:tc>
        <w:tc>
          <w:tcPr>
            <w:tcW w:w="1063" w:type="dxa"/>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404"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动车组检修技术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50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327"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铁道车辆技术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50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392"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大数据技术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93"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城市轨道交通机电技术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50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370"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铁道信号自动控制</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03"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铁道通信与信息化技术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81"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铁道供电技术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50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371"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高速铁路综合维修技术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49"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城市轨道交通通信信号技术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81"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电子信息工程技术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5060</w:t>
            </w:r>
          </w:p>
        </w:tc>
      </w:tr>
      <w:tr>
        <w:tblPrEx>
          <w:tblCellMar>
            <w:top w:w="0" w:type="dxa"/>
            <w:left w:w="108" w:type="dxa"/>
            <w:bottom w:w="0" w:type="dxa"/>
            <w:right w:w="108" w:type="dxa"/>
          </w:tblCellMar>
        </w:tblPrEx>
        <w:trPr>
          <w:trHeight w:val="403"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移动互联应用技术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szCs w:val="21"/>
              </w:rPr>
            </w:pPr>
            <w:r>
              <w:rPr>
                <w:rFonts w:hint="eastAsia" w:ascii="宋体" w:hAnsi="宋体"/>
                <w:szCs w:val="21"/>
              </w:rPr>
              <w:t>电气自动化技术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5060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电气自动化技术(铁道自动化)</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5060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集成电路技术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人工智能技术应用</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信息安全技术应用</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工业机器人技术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应用电子技术(铁道方向)</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5060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数字媒体技术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物联网应用技术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70"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电机与电器技术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82"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铁道机车车辆制造与维护</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60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370"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增材制造技术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82"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机械设计与制造</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32</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16"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数控技术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5060</w:t>
            </w:r>
          </w:p>
        </w:tc>
      </w:tr>
      <w:tr>
        <w:tblPrEx>
          <w:tblCellMar>
            <w:top w:w="0" w:type="dxa"/>
            <w:left w:w="108" w:type="dxa"/>
            <w:bottom w:w="0" w:type="dxa"/>
            <w:right w:w="108" w:type="dxa"/>
          </w:tblCellMar>
        </w:tblPrEx>
        <w:trPr>
          <w:trHeight w:val="327"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制冷与空调技术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60"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智能光电制造技术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81"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新能源装备技术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60" w:hRule="exact"/>
          <w:jc w:val="center"/>
        </w:trPr>
        <w:tc>
          <w:tcPr>
            <w:tcW w:w="2217" w:type="dxa"/>
            <w:vMerge w:val="restart"/>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智能机电技术</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381"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机械设计与制造(中外合作办学)</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36</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15500</w:t>
            </w:r>
          </w:p>
        </w:tc>
      </w:tr>
      <w:tr>
        <w:tblPrEx>
          <w:tblCellMar>
            <w:top w:w="0" w:type="dxa"/>
            <w:left w:w="108" w:type="dxa"/>
            <w:bottom w:w="0" w:type="dxa"/>
            <w:right w:w="108" w:type="dxa"/>
          </w:tblCellMar>
        </w:tblPrEx>
        <w:trPr>
          <w:trHeight w:val="371"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cs="宋体"/>
                <w:szCs w:val="21"/>
              </w:rPr>
            </w:pPr>
            <w:r>
              <w:rPr>
                <w:rFonts w:hint="eastAsia" w:ascii="宋体" w:hAnsi="宋体"/>
                <w:szCs w:val="21"/>
              </w:rPr>
              <w:t>铁道机车运用与维护(中外合作办学)</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36</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15500</w:t>
            </w:r>
          </w:p>
        </w:tc>
      </w:tr>
      <w:tr>
        <w:tblPrEx>
          <w:tblCellMar>
            <w:top w:w="0" w:type="dxa"/>
            <w:left w:w="108" w:type="dxa"/>
            <w:bottom w:w="0" w:type="dxa"/>
            <w:right w:w="108" w:type="dxa"/>
          </w:tblCellMar>
        </w:tblPrEx>
        <w:trPr>
          <w:trHeight w:val="392" w:hRule="exact"/>
          <w:jc w:val="center"/>
        </w:trPr>
        <w:tc>
          <w:tcPr>
            <w:tcW w:w="2217" w:type="dxa"/>
            <w:vMerge w:val="continue"/>
            <w:tcBorders>
              <w:left w:val="single" w:color="auto" w:sz="4" w:space="0"/>
              <w:right w:val="single" w:color="auto" w:sz="4" w:space="0"/>
            </w:tcBorders>
            <w:noWrap w:val="0"/>
            <w:vAlign w:val="center"/>
          </w:tcPr>
          <w:p>
            <w:pPr>
              <w:spacing w:line="320" w:lineRule="exact"/>
              <w:ind w:firstLine="420" w:firstLineChars="200"/>
              <w:rPr>
                <w:rFonts w:hint="eastAsia" w:ascii="宋体" w:hAnsi="宋体" w:cs="宋体"/>
                <w:kern w:val="0"/>
                <w:szCs w:val="21"/>
              </w:rPr>
            </w:pPr>
          </w:p>
        </w:tc>
        <w:tc>
          <w:tcPr>
            <w:tcW w:w="4020" w:type="dxa"/>
            <w:tcBorders>
              <w:top w:val="nil"/>
              <w:left w:val="nil"/>
              <w:bottom w:val="single" w:color="auto" w:sz="4" w:space="0"/>
              <w:right w:val="single" w:color="auto" w:sz="4" w:space="0"/>
            </w:tcBorders>
            <w:noWrap/>
            <w:vAlign w:val="center"/>
          </w:tcPr>
          <w:p>
            <w:pPr>
              <w:spacing w:line="320" w:lineRule="exact"/>
              <w:rPr>
                <w:rFonts w:hint="eastAsia" w:ascii="宋体" w:hAnsi="宋体"/>
                <w:szCs w:val="21"/>
              </w:rPr>
            </w:pPr>
            <w:r>
              <w:rPr>
                <w:rFonts w:hint="eastAsia" w:ascii="宋体" w:hAnsi="宋体"/>
                <w:szCs w:val="21"/>
              </w:rPr>
              <w:t>城市轨道车辆应用技术(中外合作办学)</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36</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szCs w:val="21"/>
              </w:rPr>
            </w:pPr>
            <w:r>
              <w:rPr>
                <w:rFonts w:hint="eastAsia" w:ascii="宋体" w:hAnsi="宋体"/>
                <w:szCs w:val="21"/>
              </w:rPr>
              <w:t>15500</w:t>
            </w:r>
          </w:p>
        </w:tc>
      </w:tr>
      <w:tr>
        <w:tblPrEx>
          <w:tblCellMar>
            <w:top w:w="0" w:type="dxa"/>
            <w:left w:w="108" w:type="dxa"/>
            <w:bottom w:w="0" w:type="dxa"/>
            <w:right w:w="108" w:type="dxa"/>
          </w:tblCellMar>
        </w:tblPrEx>
        <w:trPr>
          <w:trHeight w:val="353" w:hRule="exact"/>
          <w:jc w:val="center"/>
        </w:trPr>
        <w:tc>
          <w:tcPr>
            <w:tcW w:w="2217" w:type="dxa"/>
            <w:vMerge w:val="restart"/>
            <w:tcBorders>
              <w:top w:val="single" w:color="auto" w:sz="4" w:space="0"/>
              <w:left w:val="single" w:color="auto" w:sz="4" w:space="0"/>
              <w:right w:val="single" w:color="000000" w:sz="4" w:space="0"/>
            </w:tcBorders>
            <w:noWrap w:val="0"/>
            <w:vAlign w:val="center"/>
          </w:tcPr>
          <w:p>
            <w:pPr>
              <w:spacing w:line="320" w:lineRule="exact"/>
              <w:rPr>
                <w:rFonts w:hint="eastAsia" w:ascii="宋体" w:hAnsi="宋体"/>
                <w:b/>
                <w:szCs w:val="21"/>
              </w:rPr>
            </w:pPr>
            <w:r>
              <w:rPr>
                <w:rFonts w:hint="eastAsia" w:ascii="宋体" w:hAnsi="宋体" w:cs="宋体"/>
                <w:kern w:val="0"/>
                <w:szCs w:val="21"/>
                <w:lang w:bidi="ar"/>
              </w:rPr>
              <w:t>专业组三（现代学徒制）</w:t>
            </w:r>
          </w:p>
        </w:tc>
        <w:tc>
          <w:tcPr>
            <w:tcW w:w="4020" w:type="dxa"/>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数控技术（株硬集团）</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30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5060</w:t>
            </w:r>
          </w:p>
        </w:tc>
      </w:tr>
      <w:tr>
        <w:tblPrEx>
          <w:tblCellMar>
            <w:top w:w="0" w:type="dxa"/>
            <w:left w:w="108" w:type="dxa"/>
            <w:bottom w:w="0" w:type="dxa"/>
            <w:right w:w="108" w:type="dxa"/>
          </w:tblCellMar>
        </w:tblPrEx>
        <w:trPr>
          <w:trHeight w:val="382" w:hRule="exact"/>
          <w:jc w:val="center"/>
        </w:trPr>
        <w:tc>
          <w:tcPr>
            <w:tcW w:w="2217" w:type="dxa"/>
            <w:vMerge w:val="continue"/>
            <w:tcBorders>
              <w:left w:val="single" w:color="auto" w:sz="4" w:space="0"/>
              <w:right w:val="single" w:color="000000" w:sz="4" w:space="0"/>
            </w:tcBorders>
            <w:noWrap w:val="0"/>
            <w:vAlign w:val="center"/>
          </w:tcPr>
          <w:p>
            <w:pPr>
              <w:spacing w:line="320" w:lineRule="exact"/>
              <w:ind w:firstLine="420" w:firstLineChars="200"/>
              <w:rPr>
                <w:rFonts w:hint="eastAsia" w:ascii="宋体" w:hAnsi="宋体" w:cs="宋体"/>
                <w:kern w:val="0"/>
                <w:szCs w:val="21"/>
                <w:lang w:bidi="ar"/>
              </w:rPr>
            </w:pPr>
          </w:p>
        </w:tc>
        <w:tc>
          <w:tcPr>
            <w:tcW w:w="4020" w:type="dxa"/>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机械设计与制造（柳工集团）</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4600</w:t>
            </w:r>
          </w:p>
        </w:tc>
      </w:tr>
      <w:tr>
        <w:tblPrEx>
          <w:tblCellMar>
            <w:top w:w="0" w:type="dxa"/>
            <w:left w:w="108" w:type="dxa"/>
            <w:bottom w:w="0" w:type="dxa"/>
            <w:right w:w="108" w:type="dxa"/>
          </w:tblCellMar>
        </w:tblPrEx>
        <w:trPr>
          <w:trHeight w:val="382" w:hRule="exact"/>
          <w:jc w:val="center"/>
        </w:trPr>
        <w:tc>
          <w:tcPr>
            <w:tcW w:w="2217" w:type="dxa"/>
            <w:vMerge w:val="continue"/>
            <w:tcBorders>
              <w:left w:val="single" w:color="auto" w:sz="4" w:space="0"/>
              <w:right w:val="single" w:color="000000" w:sz="4" w:space="0"/>
            </w:tcBorders>
            <w:noWrap w:val="0"/>
            <w:vAlign w:val="center"/>
          </w:tcPr>
          <w:p>
            <w:pPr>
              <w:spacing w:line="320" w:lineRule="exact"/>
              <w:ind w:firstLine="422" w:firstLineChars="200"/>
              <w:rPr>
                <w:rFonts w:hint="eastAsia" w:ascii="宋体" w:hAnsi="宋体"/>
                <w:b/>
                <w:szCs w:val="21"/>
              </w:rPr>
            </w:pPr>
          </w:p>
        </w:tc>
        <w:tc>
          <w:tcPr>
            <w:tcW w:w="4020" w:type="dxa"/>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制冷与空调技术（长沙格力）</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4600</w:t>
            </w:r>
          </w:p>
        </w:tc>
      </w:tr>
      <w:tr>
        <w:tblPrEx>
          <w:tblCellMar>
            <w:top w:w="0" w:type="dxa"/>
            <w:left w:w="108" w:type="dxa"/>
            <w:bottom w:w="0" w:type="dxa"/>
            <w:right w:w="108" w:type="dxa"/>
          </w:tblCellMar>
        </w:tblPrEx>
        <w:trPr>
          <w:trHeight w:val="416" w:hRule="exact"/>
          <w:jc w:val="center"/>
        </w:trPr>
        <w:tc>
          <w:tcPr>
            <w:tcW w:w="2217" w:type="dxa"/>
            <w:vMerge w:val="continue"/>
            <w:tcBorders>
              <w:left w:val="single" w:color="auto" w:sz="4" w:space="0"/>
              <w:right w:val="single" w:color="000000" w:sz="4" w:space="0"/>
            </w:tcBorders>
            <w:noWrap w:val="0"/>
            <w:vAlign w:val="center"/>
          </w:tcPr>
          <w:p>
            <w:pPr>
              <w:spacing w:line="320" w:lineRule="exact"/>
              <w:ind w:firstLine="422" w:firstLineChars="200"/>
              <w:rPr>
                <w:rFonts w:hint="eastAsia" w:ascii="宋体" w:hAnsi="宋体"/>
                <w:b/>
                <w:szCs w:val="21"/>
              </w:rPr>
            </w:pPr>
          </w:p>
        </w:tc>
        <w:tc>
          <w:tcPr>
            <w:tcW w:w="4020" w:type="dxa"/>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机制设计与制造（海康威视）</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4600</w:t>
            </w:r>
          </w:p>
        </w:tc>
      </w:tr>
      <w:tr>
        <w:tblPrEx>
          <w:tblCellMar>
            <w:top w:w="0" w:type="dxa"/>
            <w:left w:w="108" w:type="dxa"/>
            <w:bottom w:w="0" w:type="dxa"/>
            <w:right w:w="108" w:type="dxa"/>
          </w:tblCellMar>
        </w:tblPrEx>
        <w:trPr>
          <w:trHeight w:val="394" w:hRule="exact"/>
          <w:jc w:val="center"/>
        </w:trPr>
        <w:tc>
          <w:tcPr>
            <w:tcW w:w="2217" w:type="dxa"/>
            <w:vMerge w:val="continue"/>
            <w:tcBorders>
              <w:left w:val="single" w:color="auto" w:sz="4" w:space="0"/>
              <w:right w:val="single" w:color="000000" w:sz="4" w:space="0"/>
            </w:tcBorders>
            <w:noWrap w:val="0"/>
            <w:vAlign w:val="center"/>
          </w:tcPr>
          <w:p>
            <w:pPr>
              <w:spacing w:line="320" w:lineRule="exact"/>
              <w:ind w:firstLine="422" w:firstLineChars="200"/>
              <w:rPr>
                <w:rFonts w:hint="eastAsia" w:ascii="宋体" w:hAnsi="宋体"/>
                <w:b/>
                <w:szCs w:val="21"/>
              </w:rPr>
            </w:pPr>
          </w:p>
        </w:tc>
        <w:tc>
          <w:tcPr>
            <w:tcW w:w="4020" w:type="dxa"/>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新能源装备技术(北京鼎汉)</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30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4600</w:t>
            </w:r>
          </w:p>
        </w:tc>
      </w:tr>
      <w:tr>
        <w:tblPrEx>
          <w:tblCellMar>
            <w:top w:w="0" w:type="dxa"/>
            <w:left w:w="108" w:type="dxa"/>
            <w:bottom w:w="0" w:type="dxa"/>
            <w:right w:w="108" w:type="dxa"/>
          </w:tblCellMar>
        </w:tblPrEx>
        <w:trPr>
          <w:trHeight w:val="361" w:hRule="exact"/>
          <w:jc w:val="center"/>
        </w:trPr>
        <w:tc>
          <w:tcPr>
            <w:tcW w:w="2217" w:type="dxa"/>
            <w:vMerge w:val="continue"/>
            <w:tcBorders>
              <w:left w:val="single" w:color="auto" w:sz="4" w:space="0"/>
              <w:right w:val="single" w:color="000000" w:sz="4" w:space="0"/>
            </w:tcBorders>
            <w:noWrap w:val="0"/>
            <w:vAlign w:val="center"/>
          </w:tcPr>
          <w:p>
            <w:pPr>
              <w:spacing w:line="320" w:lineRule="exact"/>
              <w:ind w:firstLine="422" w:firstLineChars="200"/>
              <w:rPr>
                <w:rFonts w:hint="eastAsia" w:ascii="宋体" w:hAnsi="宋体"/>
                <w:b/>
                <w:szCs w:val="21"/>
              </w:rPr>
            </w:pPr>
          </w:p>
        </w:tc>
        <w:tc>
          <w:tcPr>
            <w:tcW w:w="4020" w:type="dxa"/>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电气自动化技术(博众精工)</w:t>
            </w:r>
          </w:p>
        </w:tc>
        <w:tc>
          <w:tcPr>
            <w:tcW w:w="985" w:type="dxa"/>
            <w:tcBorders>
              <w:top w:val="nil"/>
              <w:left w:val="nil"/>
              <w:bottom w:val="single" w:color="auto" w:sz="4" w:space="0"/>
              <w:right w:val="single" w:color="auto" w:sz="4" w:space="0"/>
            </w:tcBorders>
            <w:noWrap/>
            <w:vAlign w:val="center"/>
          </w:tcPr>
          <w:p>
            <w:pPr>
              <w:spacing w:line="320" w:lineRule="exact"/>
              <w:jc w:val="center"/>
              <w:rPr>
                <w:rFonts w:hint="eastAsia" w:ascii="宋体" w:hAnsi="宋体"/>
                <w:szCs w:val="21"/>
              </w:rPr>
            </w:pPr>
            <w:r>
              <w:rPr>
                <w:rFonts w:hint="eastAsia" w:ascii="宋体" w:hAnsi="宋体"/>
                <w:szCs w:val="21"/>
              </w:rPr>
              <w:t>30</w:t>
            </w:r>
          </w:p>
        </w:tc>
        <w:tc>
          <w:tcPr>
            <w:tcW w:w="106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5060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noWrap w:val="0"/>
            <w:vAlign w:val="center"/>
          </w:tcPr>
          <w:p>
            <w:pPr>
              <w:spacing w:line="320" w:lineRule="exact"/>
              <w:ind w:firstLine="2108" w:firstLineChars="1000"/>
              <w:rPr>
                <w:rFonts w:hint="eastAsia" w:ascii="宋体" w:hAnsi="宋体" w:cs="宋体"/>
                <w:b/>
                <w:bCs/>
                <w:kern w:val="0"/>
                <w:szCs w:val="21"/>
                <w:lang w:bidi="ar"/>
              </w:rPr>
            </w:pPr>
            <w:r>
              <w:rPr>
                <w:rFonts w:hint="eastAsia" w:ascii="宋体" w:hAnsi="宋体" w:cs="宋体"/>
                <w:b/>
                <w:bCs/>
                <w:kern w:val="0"/>
                <w:szCs w:val="21"/>
                <w:lang w:bidi="ar"/>
              </w:rPr>
              <w:t>总计划</w:t>
            </w:r>
          </w:p>
        </w:tc>
        <w:tc>
          <w:tcPr>
            <w:tcW w:w="985" w:type="dxa"/>
            <w:tcBorders>
              <w:top w:val="single" w:color="auto" w:sz="4" w:space="0"/>
              <w:left w:val="nil"/>
              <w:bottom w:val="single" w:color="auto" w:sz="4" w:space="0"/>
              <w:right w:val="single" w:color="auto" w:sz="4" w:space="0"/>
            </w:tcBorders>
            <w:noWrap/>
            <w:vAlign w:val="center"/>
          </w:tcPr>
          <w:p>
            <w:pPr>
              <w:spacing w:line="320" w:lineRule="exact"/>
              <w:ind w:firstLine="211" w:firstLineChars="100"/>
              <w:rPr>
                <w:rFonts w:hint="eastAsia" w:ascii="宋体" w:hAnsi="宋体"/>
                <w:b/>
                <w:szCs w:val="21"/>
              </w:rPr>
            </w:pPr>
            <w:r>
              <w:rPr>
                <w:rFonts w:hint="eastAsia" w:ascii="宋体" w:hAnsi="宋体"/>
                <w:b/>
                <w:szCs w:val="21"/>
              </w:rPr>
              <w:t>1600</w:t>
            </w:r>
          </w:p>
        </w:tc>
        <w:tc>
          <w:tcPr>
            <w:tcW w:w="1063" w:type="dxa"/>
            <w:tcBorders>
              <w:top w:val="single" w:color="auto" w:sz="4" w:space="0"/>
              <w:left w:val="nil"/>
              <w:bottom w:val="single" w:color="auto" w:sz="4" w:space="0"/>
              <w:right w:val="single" w:color="auto" w:sz="4" w:space="0"/>
            </w:tcBorders>
            <w:noWrap/>
            <w:vAlign w:val="center"/>
          </w:tcPr>
          <w:p>
            <w:pPr>
              <w:widowControl/>
              <w:spacing w:line="320" w:lineRule="exact"/>
              <w:ind w:firstLine="422" w:firstLineChars="200"/>
              <w:textAlignment w:val="center"/>
              <w:rPr>
                <w:rFonts w:hint="eastAsia" w:ascii="宋体" w:hAnsi="宋体"/>
                <w:b/>
                <w:szCs w:val="21"/>
              </w:rPr>
            </w:pPr>
          </w:p>
        </w:tc>
      </w:tr>
    </w:tbl>
    <w:p>
      <w:pPr>
        <w:widowControl/>
        <w:spacing w:line="576" w:lineRule="exact"/>
        <w:ind w:firstLine="643" w:firstLineChars="200"/>
        <w:rPr>
          <w:rFonts w:hint="eastAsia" w:ascii="仿宋_GB2312" w:hAnsi="仿宋" w:eastAsia="仿宋_GB2312" w:cs="宋体"/>
          <w:b/>
          <w:bCs/>
          <w:kern w:val="0"/>
          <w:sz w:val="32"/>
          <w:szCs w:val="32"/>
        </w:rPr>
      </w:pPr>
    </w:p>
    <w:p>
      <w:pPr>
        <w:widowControl/>
        <w:spacing w:line="576" w:lineRule="exact"/>
        <w:ind w:firstLine="3213" w:firstLineChars="1000"/>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单列计划及专业组</w:t>
      </w:r>
    </w:p>
    <w:tbl>
      <w:tblPr>
        <w:tblStyle w:val="10"/>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418"/>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noWrap w:val="0"/>
            <w:vAlign w:val="top"/>
          </w:tcPr>
          <w:p>
            <w:pPr>
              <w:widowControl/>
              <w:spacing w:line="576" w:lineRule="exact"/>
              <w:ind w:firstLine="1054" w:firstLineChars="500"/>
              <w:rPr>
                <w:rFonts w:hint="eastAsia" w:ascii="宋体" w:hAnsi="宋体" w:cs="宋体"/>
                <w:b/>
                <w:bCs/>
                <w:kern w:val="0"/>
                <w:szCs w:val="21"/>
              </w:rPr>
            </w:pPr>
            <w:r>
              <w:rPr>
                <w:rFonts w:hint="eastAsia" w:ascii="宋体" w:hAnsi="宋体" w:cs="宋体"/>
                <w:b/>
                <w:bCs/>
                <w:kern w:val="0"/>
                <w:szCs w:val="21"/>
              </w:rPr>
              <w:t>专业组</w:t>
            </w:r>
          </w:p>
        </w:tc>
        <w:tc>
          <w:tcPr>
            <w:tcW w:w="1418" w:type="dxa"/>
            <w:shd w:val="clear" w:color="auto" w:fill="auto"/>
            <w:noWrap w:val="0"/>
            <w:vAlign w:val="top"/>
          </w:tcPr>
          <w:p>
            <w:pPr>
              <w:widowControl/>
              <w:spacing w:line="576" w:lineRule="exact"/>
              <w:jc w:val="center"/>
              <w:rPr>
                <w:rFonts w:hint="eastAsia" w:ascii="宋体" w:hAnsi="宋体" w:cs="宋体"/>
                <w:b/>
                <w:bCs/>
                <w:kern w:val="0"/>
                <w:szCs w:val="21"/>
              </w:rPr>
            </w:pPr>
            <w:r>
              <w:rPr>
                <w:rFonts w:hint="eastAsia" w:ascii="宋体" w:hAnsi="宋体" w:cs="宋体"/>
                <w:b/>
                <w:bCs/>
                <w:kern w:val="0"/>
                <w:szCs w:val="21"/>
              </w:rPr>
              <w:t>计划数</w:t>
            </w:r>
          </w:p>
        </w:tc>
        <w:tc>
          <w:tcPr>
            <w:tcW w:w="4329" w:type="dxa"/>
            <w:shd w:val="clear" w:color="auto" w:fill="auto"/>
            <w:noWrap w:val="0"/>
            <w:vAlign w:val="top"/>
          </w:tcPr>
          <w:p>
            <w:pPr>
              <w:widowControl/>
              <w:spacing w:line="576" w:lineRule="exact"/>
              <w:ind w:firstLine="1476" w:firstLineChars="700"/>
              <w:rPr>
                <w:rFonts w:hint="eastAsia" w:ascii="宋体" w:hAnsi="宋体" w:cs="宋体"/>
                <w:b/>
                <w:bCs/>
                <w:kern w:val="0"/>
                <w:szCs w:val="21"/>
              </w:rPr>
            </w:pPr>
            <w:r>
              <w:rPr>
                <w:rFonts w:hint="eastAsia" w:ascii="宋体" w:hAnsi="宋体" w:cs="宋体"/>
                <w:b/>
                <w:bCs/>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noWrap w:val="0"/>
            <w:vAlign w:val="center"/>
          </w:tcPr>
          <w:p>
            <w:pPr>
              <w:widowControl/>
              <w:spacing w:line="576"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专业组四（退役军人）</w:t>
            </w:r>
          </w:p>
        </w:tc>
        <w:tc>
          <w:tcPr>
            <w:tcW w:w="1418" w:type="dxa"/>
            <w:shd w:val="clear" w:color="auto" w:fill="auto"/>
            <w:noWrap w:val="0"/>
            <w:vAlign w:val="center"/>
          </w:tcPr>
          <w:p>
            <w:pPr>
              <w:widowControl/>
              <w:spacing w:line="576"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8</w:t>
            </w:r>
          </w:p>
        </w:tc>
        <w:tc>
          <w:tcPr>
            <w:tcW w:w="4329" w:type="dxa"/>
            <w:vMerge w:val="restart"/>
            <w:shd w:val="clear" w:color="auto" w:fill="auto"/>
            <w:noWrap w:val="0"/>
            <w:vAlign w:val="center"/>
          </w:tcPr>
          <w:p>
            <w:pPr>
              <w:widowControl/>
              <w:numPr>
                <w:ilvl w:val="0"/>
                <w:numId w:val="3"/>
              </w:numPr>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单列计划包含在普通类总计划内；</w:t>
            </w:r>
          </w:p>
          <w:p>
            <w:pPr>
              <w:widowControl/>
              <w:numPr>
                <w:ilvl w:val="0"/>
                <w:numId w:val="3"/>
              </w:numPr>
              <w:spacing w:line="320" w:lineRule="exact"/>
              <w:textAlignment w:val="center"/>
              <w:rPr>
                <w:rFonts w:hint="eastAsia" w:ascii="宋体" w:hAnsi="宋体" w:cs="宋体"/>
                <w:kern w:val="0"/>
                <w:szCs w:val="21"/>
                <w:lang w:bidi="ar"/>
              </w:rPr>
            </w:pPr>
            <w:r>
              <w:rPr>
                <w:rFonts w:hint="eastAsia" w:ascii="宋体" w:hAnsi="宋体" w:cs="宋体"/>
                <w:kern w:val="0"/>
                <w:szCs w:val="21"/>
                <w:lang w:bidi="ar"/>
              </w:rPr>
              <w:t>专业组五（艺术特长）、专业组六（体育特长）具体招生信息详见《湖南铁道职业技术学院2024年艺术体育特长生高职单招方案》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noWrap w:val="0"/>
            <w:vAlign w:val="center"/>
          </w:tcPr>
          <w:p>
            <w:pPr>
              <w:widowControl/>
              <w:spacing w:line="576"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专业组五（艺术特长）</w:t>
            </w:r>
          </w:p>
        </w:tc>
        <w:tc>
          <w:tcPr>
            <w:tcW w:w="1418" w:type="dxa"/>
            <w:shd w:val="clear" w:color="auto" w:fill="auto"/>
            <w:noWrap w:val="0"/>
            <w:vAlign w:val="center"/>
          </w:tcPr>
          <w:p>
            <w:pPr>
              <w:widowControl/>
              <w:spacing w:line="576"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31</w:t>
            </w:r>
          </w:p>
        </w:tc>
        <w:tc>
          <w:tcPr>
            <w:tcW w:w="4329" w:type="dxa"/>
            <w:vMerge w:val="continue"/>
            <w:shd w:val="clear" w:color="auto" w:fill="auto"/>
            <w:noWrap w:val="0"/>
            <w:vAlign w:val="top"/>
          </w:tcPr>
          <w:p>
            <w:pPr>
              <w:widowControl/>
              <w:spacing w:line="576" w:lineRule="exact"/>
              <w:ind w:firstLine="420" w:firstLineChars="200"/>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943" w:type="dxa"/>
            <w:shd w:val="clear" w:color="auto" w:fill="auto"/>
            <w:noWrap w:val="0"/>
            <w:vAlign w:val="center"/>
          </w:tcPr>
          <w:p>
            <w:pPr>
              <w:widowControl/>
              <w:spacing w:line="576"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专业组六（体育特长）</w:t>
            </w:r>
          </w:p>
        </w:tc>
        <w:tc>
          <w:tcPr>
            <w:tcW w:w="1418" w:type="dxa"/>
            <w:shd w:val="clear" w:color="auto" w:fill="auto"/>
            <w:noWrap w:val="0"/>
            <w:vAlign w:val="center"/>
          </w:tcPr>
          <w:p>
            <w:pPr>
              <w:widowControl/>
              <w:spacing w:line="576"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31</w:t>
            </w:r>
          </w:p>
        </w:tc>
        <w:tc>
          <w:tcPr>
            <w:tcW w:w="4329" w:type="dxa"/>
            <w:vMerge w:val="continue"/>
            <w:shd w:val="clear" w:color="auto" w:fill="auto"/>
            <w:noWrap w:val="0"/>
            <w:vAlign w:val="top"/>
          </w:tcPr>
          <w:p>
            <w:pPr>
              <w:widowControl/>
              <w:spacing w:line="576" w:lineRule="exact"/>
              <w:ind w:firstLine="420" w:firstLineChars="200"/>
              <w:textAlignment w:val="center"/>
              <w:rPr>
                <w:rFonts w:hint="eastAsia" w:ascii="宋体" w:hAnsi="宋体" w:cs="宋体"/>
                <w:kern w:val="0"/>
                <w:szCs w:val="21"/>
                <w:lang w:bidi="ar"/>
              </w:rPr>
            </w:pPr>
          </w:p>
        </w:tc>
      </w:tr>
    </w:tbl>
    <w:p>
      <w:pPr>
        <w:widowControl/>
        <w:spacing w:line="576" w:lineRule="exact"/>
        <w:ind w:firstLine="640" w:firstLineChars="200"/>
        <w:textAlignment w:val="center"/>
        <w:rPr>
          <w:rFonts w:hint="eastAsia" w:ascii="仿宋_GB2312" w:hAnsi="宋体" w:eastAsia="仿宋_GB2312" w:cs="宋体"/>
          <w:kern w:val="0"/>
          <w:sz w:val="32"/>
          <w:szCs w:val="32"/>
          <w:lang w:bidi="ar"/>
        </w:rPr>
      </w:pPr>
    </w:p>
    <w:p>
      <w:pPr>
        <w:widowControl/>
        <w:spacing w:line="576" w:lineRule="exact"/>
        <w:ind w:firstLine="643" w:firstLineChars="200"/>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专业要求提示：</w:t>
      </w:r>
      <w:r>
        <w:rPr>
          <w:rFonts w:hint="eastAsia" w:ascii="仿宋_GB2312" w:hAnsi="仿宋" w:eastAsia="仿宋_GB2312" w:cs="宋体"/>
          <w:kern w:val="0"/>
          <w:sz w:val="32"/>
          <w:szCs w:val="32"/>
        </w:rPr>
        <w:t>学校结合就业推荐过程中的实际情况，对企业招聘时的专业（岗位）要求归纳如下，建议不符合招聘要求的考生一定慎重填报专业：</w:t>
      </w:r>
    </w:p>
    <w:p>
      <w:pPr>
        <w:widowControl/>
        <w:spacing w:line="576"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1.所有招生专业要求考生身体健康；</w:t>
      </w:r>
    </w:p>
    <w:p>
      <w:pPr>
        <w:widowControl/>
        <w:spacing w:line="576"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铁道机车运用与维护(含中外合作办学)、城市轨道车辆应用技术(含中外合作办学)、铁道车辆技术、城市轨道交通运营管理、铁道供电技术、城市轨道交通通信信号技术、铁道通信与信息化技术、城市轨道交通机电技术、铁道交通运营管理、铁道信号自动控制、铁道机车车辆制造与维护、动车组检修技术、高速铁路综合维修技术等专业要求双眼矫正视力不低于5.0，无高度近视、无色盲色弱、无听力障碍、无肥胖症；由于以上专业对口的就业企业岗位性质特殊，要求招收男生为主，请女生慎重填报，男生身高不低于1.70米，女生身高不低于1.60米；其中铁道机车运用与维护(含中外合作办学)专业只招收男生。</w:t>
      </w:r>
    </w:p>
    <w:p>
      <w:pPr>
        <w:widowControl/>
        <w:spacing w:line="576"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应用电子技术、工业机器人技术、电子信息工程技术、电气自动化技术、电机与电器技术、数控技术、制冷与空调技术、机械设计与制造(含中外合作办学)、集成电路技术、人工智能技术应用、物联网应用技术、增材制造技术、智能光电制造技术、新能源装备技术、智能机电技术等专业要求无色盲色弱，无听力障碍。</w:t>
      </w:r>
    </w:p>
    <w:p>
      <w:pPr>
        <w:widowControl/>
        <w:spacing w:line="576" w:lineRule="exact"/>
        <w:ind w:firstLine="643" w:firstLineChars="200"/>
        <w:rPr>
          <w:rFonts w:hint="eastAsia" w:ascii="仿宋_GB2312" w:hAnsi="仿宋" w:eastAsia="仿宋_GB2312" w:cs="宋体"/>
          <w:kern w:val="0"/>
          <w:sz w:val="32"/>
          <w:szCs w:val="32"/>
        </w:rPr>
      </w:pPr>
      <w:r>
        <w:rPr>
          <w:rFonts w:hint="eastAsia" w:ascii="仿宋_GB2312" w:hAnsi="等线" w:eastAsia="仿宋_GB2312" w:cs="仿宋"/>
          <w:b/>
          <w:bCs/>
          <w:sz w:val="32"/>
          <w:szCs w:val="32"/>
        </w:rPr>
        <w:t xml:space="preserve">第十三条 </w:t>
      </w:r>
      <w:r>
        <w:rPr>
          <w:rFonts w:hint="eastAsia" w:ascii="仿宋_GB2312" w:hAnsi="仿宋" w:eastAsia="仿宋_GB2312" w:cs="宋体"/>
          <w:kern w:val="0"/>
          <w:sz w:val="32"/>
          <w:szCs w:val="32"/>
        </w:rPr>
        <w:t>根据省教育厅政策规定，单列计划纳入学校单招总计划。</w:t>
      </w:r>
      <w:r>
        <w:rPr>
          <w:rFonts w:hint="eastAsia" w:ascii="仿宋_GB2312" w:hAnsi="等线" w:eastAsia="仿宋_GB2312" w:cs="仿宋"/>
          <w:sz w:val="32"/>
          <w:szCs w:val="32"/>
        </w:rPr>
        <w:t>为避免个别专业扎堆报考，造成后续普通类考生计划不足，单列计划各</w:t>
      </w:r>
      <w:r>
        <w:rPr>
          <w:rFonts w:hint="eastAsia" w:ascii="仿宋_GB2312" w:hAnsi="仿宋" w:eastAsia="仿宋_GB2312" w:cs="宋体"/>
          <w:kern w:val="0"/>
          <w:sz w:val="32"/>
          <w:szCs w:val="32"/>
        </w:rPr>
        <w:t>专业录取人数上限如下：</w:t>
      </w:r>
    </w:p>
    <w:p>
      <w:pPr>
        <w:widowControl/>
        <w:spacing w:line="576"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1.专业组四（退役军人）每个专业最多录取2人。</w:t>
      </w:r>
    </w:p>
    <w:p>
      <w:pPr>
        <w:widowControl/>
        <w:spacing w:line="576" w:lineRule="exact"/>
        <w:ind w:firstLine="640" w:firstLineChars="200"/>
        <w:rPr>
          <w:rFonts w:hint="eastAsia" w:ascii="仿宋_GB2312" w:hAnsi="等线" w:eastAsia="仿宋_GB2312" w:cs="宋体"/>
          <w:kern w:val="0"/>
          <w:sz w:val="32"/>
          <w:szCs w:val="32"/>
        </w:rPr>
      </w:pPr>
      <w:r>
        <w:rPr>
          <w:rFonts w:hint="eastAsia" w:ascii="仿宋_GB2312" w:hAnsi="仿宋" w:eastAsia="仿宋_GB2312" w:cs="宋体"/>
          <w:kern w:val="0"/>
          <w:sz w:val="32"/>
          <w:szCs w:val="32"/>
        </w:rPr>
        <w:t>2.专业组五（艺术特长）</w:t>
      </w:r>
      <w:r>
        <w:rPr>
          <w:rFonts w:hint="eastAsia" w:ascii="仿宋_GB2312" w:hAnsi="等线" w:eastAsia="仿宋_GB2312" w:cs="宋体"/>
          <w:kern w:val="0"/>
          <w:sz w:val="32"/>
          <w:szCs w:val="32"/>
        </w:rPr>
        <w:t>每个专业最多录取 8人。</w:t>
      </w:r>
    </w:p>
    <w:p>
      <w:pPr>
        <w:widowControl/>
        <w:spacing w:line="576" w:lineRule="exact"/>
        <w:ind w:firstLine="640" w:firstLineChars="200"/>
        <w:rPr>
          <w:rFonts w:hint="eastAsia" w:ascii="仿宋_GB2312" w:hAnsi="等线" w:eastAsia="仿宋_GB2312" w:cs="宋体"/>
          <w:kern w:val="0"/>
          <w:sz w:val="32"/>
          <w:szCs w:val="32"/>
        </w:rPr>
      </w:pPr>
      <w:r>
        <w:rPr>
          <w:rFonts w:hint="eastAsia" w:ascii="仿宋_GB2312" w:hAnsi="仿宋" w:eastAsia="仿宋_GB2312" w:cs="宋体"/>
          <w:kern w:val="0"/>
          <w:sz w:val="32"/>
          <w:szCs w:val="32"/>
        </w:rPr>
        <w:t>3.专业组六（体育特长）</w:t>
      </w:r>
      <w:r>
        <w:rPr>
          <w:rFonts w:hint="eastAsia" w:ascii="仿宋_GB2312" w:hAnsi="等线" w:eastAsia="仿宋_GB2312" w:cs="宋体"/>
          <w:kern w:val="0"/>
          <w:sz w:val="32"/>
          <w:szCs w:val="32"/>
        </w:rPr>
        <w:t>每个专业最多录取 8人。</w:t>
      </w:r>
    </w:p>
    <w:p>
      <w:pPr>
        <w:spacing w:line="576" w:lineRule="exact"/>
        <w:ind w:firstLine="643" w:firstLineChars="200"/>
        <w:rPr>
          <w:rFonts w:hint="eastAsia" w:ascii="仿宋_GB2312" w:hAnsi="仿宋" w:eastAsia="仿宋_GB2312" w:cs="仿宋"/>
          <w:sz w:val="32"/>
          <w:szCs w:val="32"/>
        </w:rPr>
      </w:pPr>
      <w:r>
        <w:rPr>
          <w:rFonts w:hint="eastAsia" w:ascii="仿宋_GB2312" w:hAnsi="等线" w:eastAsia="仿宋_GB2312" w:cs="宋体"/>
          <w:b/>
          <w:bCs/>
          <w:kern w:val="0"/>
          <w:sz w:val="32"/>
          <w:szCs w:val="32"/>
        </w:rPr>
        <w:t>第十四条</w:t>
      </w:r>
      <w:r>
        <w:rPr>
          <w:rFonts w:hint="eastAsia" w:ascii="仿宋_GB2312" w:hAnsi="等线" w:eastAsia="仿宋_GB2312" w:cs="宋体"/>
          <w:kern w:val="0"/>
          <w:sz w:val="32"/>
          <w:szCs w:val="32"/>
        </w:rPr>
        <w:t xml:space="preserve"> 学校在考试结束后，以实际参考人数为基数，按比例确定各专业不同类别考生的计划数，单列计划除外。学校各专业各类别计划确定并公布后，一律不调整和追加。单招未完成的计划转为统招计划使用。</w:t>
      </w:r>
    </w:p>
    <w:p>
      <w:pPr>
        <w:spacing w:line="576"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第五章  单招考试</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第十五条 </w:t>
      </w:r>
      <w:r>
        <w:rPr>
          <w:rFonts w:hint="eastAsia" w:ascii="仿宋_GB2312" w:hAnsi="等线" w:eastAsia="仿宋_GB2312" w:cs="仿宋"/>
          <w:sz w:val="32"/>
          <w:szCs w:val="32"/>
        </w:rPr>
        <w:t>学校将本着公平、公正、择优录取的原则，按照国家教育考试相关规定，在省教育厅、省教育考试院的指导和监督下组织单招考试的相关工作。</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第十六条 </w:t>
      </w:r>
      <w:r>
        <w:rPr>
          <w:rFonts w:hint="eastAsia" w:ascii="仿宋_GB2312" w:hAnsi="等线" w:eastAsia="仿宋_GB2312" w:cs="仿宋"/>
          <w:sz w:val="32"/>
          <w:szCs w:val="32"/>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艺术体育特长生4个大类。</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第十七条 </w:t>
      </w:r>
      <w:r>
        <w:rPr>
          <w:rFonts w:hint="eastAsia" w:ascii="仿宋_GB2312" w:hAnsi="等线" w:eastAsia="仿宋_GB2312" w:cs="仿宋"/>
          <w:sz w:val="32"/>
          <w:szCs w:val="32"/>
        </w:rPr>
        <w:t>按照“文化素质+职业技能”方式，分类组织考试。根据考生的类别，考试按以下方式进行。</w:t>
      </w:r>
    </w:p>
    <w:p>
      <w:pPr>
        <w:widowControl/>
        <w:adjustRightInd w:val="0"/>
        <w:snapToGrid w:val="0"/>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1.</w:t>
      </w:r>
      <w:r>
        <w:rPr>
          <w:rFonts w:hint="eastAsia" w:ascii="仿宋_GB2312" w:hAnsi="等线" w:eastAsia="仿宋_GB2312" w:cs="仿宋"/>
          <w:b/>
          <w:bCs/>
          <w:sz w:val="32"/>
          <w:szCs w:val="32"/>
        </w:rPr>
        <w:t>第一类：应届普通高中毕业考生。</w:t>
      </w:r>
      <w:r>
        <w:rPr>
          <w:rFonts w:hint="eastAsia" w:ascii="仿宋_GB2312" w:hAnsi="等线" w:eastAsia="仿宋_GB2312" w:cs="仿宋"/>
          <w:sz w:val="32"/>
          <w:szCs w:val="32"/>
        </w:rPr>
        <w:t>文化素质测试成绩以</w:t>
      </w:r>
      <w:bookmarkStart w:id="1" w:name="_Hlk155816891"/>
      <w:r>
        <w:rPr>
          <w:rFonts w:hint="eastAsia" w:ascii="仿宋_GB2312" w:hAnsi="等线" w:eastAsia="仿宋_GB2312" w:cs="仿宋"/>
          <w:sz w:val="32"/>
          <w:szCs w:val="32"/>
        </w:rPr>
        <w:t>学生取得的高中学业水平合格性考试</w:t>
      </w:r>
      <w:bookmarkEnd w:id="1"/>
      <w:r>
        <w:rPr>
          <w:rFonts w:hint="eastAsia" w:ascii="仿宋_GB2312" w:hAnsi="等线" w:eastAsia="仿宋_GB2312" w:cs="仿宋"/>
          <w:sz w:val="32"/>
          <w:szCs w:val="32"/>
        </w:rPr>
        <w:t>语文、数学、外语（物理）等科目有效成绩替代【具体情况：专业组一考生以学生取得的高中学业水平合格性考试语文、数学、外语三门科目替代，专业组二和专业组三（现代学徒制）的考生以学生取得的高中学业水平合格性考试语文、数学、物理三门科目替代】。职业技能测试由学校组织，学校分专业组，按照人才培养需要，分别采取笔试或实践操作、技能展示等方式进行，重点考察学生的职业适应性。</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2.</w:t>
      </w:r>
      <w:r>
        <w:rPr>
          <w:rFonts w:hint="eastAsia" w:ascii="仿宋_GB2312" w:hAnsi="等线" w:eastAsia="仿宋_GB2312" w:cs="仿宋"/>
          <w:b/>
          <w:bCs/>
          <w:sz w:val="32"/>
          <w:szCs w:val="32"/>
        </w:rPr>
        <w:t>第二类：中职考生和往届普通高中考生及同等学力考生。</w:t>
      </w:r>
      <w:r>
        <w:rPr>
          <w:rFonts w:hint="eastAsia" w:ascii="仿宋_GB2312" w:hAnsi="等线" w:eastAsia="仿宋_GB2312" w:cs="仿宋"/>
          <w:sz w:val="32"/>
          <w:szCs w:val="32"/>
        </w:rPr>
        <w:t xml:space="preserve">文化素质测试由学校依据《中等职业学校公共基础课课程标准》及高中教育阶段语文、数学、英语、物理等有关内容进行命题及考试【具体情况：专业组一考生文化素质测试科目为语文、数学、英语，专业组二和专业组三（现代学徒制）的考生文化素质测试科目为语文、数学、物理】。职业技能测试由学校组织，学校分专业组，按照人才培养需要，分别采取笔试或实践操作、技能展示等方式进行，重点考察学生的职业技能。 </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3.</w:t>
      </w:r>
      <w:r>
        <w:rPr>
          <w:rFonts w:hint="eastAsia" w:ascii="仿宋_GB2312" w:hAnsi="等线" w:eastAsia="仿宋_GB2312" w:cs="仿宋"/>
          <w:b/>
          <w:bCs/>
          <w:sz w:val="32"/>
          <w:szCs w:val="32"/>
        </w:rPr>
        <w:t>第三类：退役军人。</w:t>
      </w:r>
      <w:r>
        <w:rPr>
          <w:rFonts w:hint="eastAsia" w:ascii="仿宋_GB2312" w:hAnsi="等线" w:eastAsia="仿宋_GB2312" w:cs="仿宋"/>
          <w:sz w:val="32"/>
          <w:szCs w:val="32"/>
        </w:rPr>
        <w:t>退役军人考生免予文化素质测试。职业技能测试由学校组织，参照上述职业技能测试方式，参加学校组织的职业技能测试。</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4.</w:t>
      </w:r>
      <w:r>
        <w:rPr>
          <w:rFonts w:hint="eastAsia" w:ascii="仿宋_GB2312" w:hAnsi="等线" w:eastAsia="仿宋_GB2312" w:cs="仿宋"/>
          <w:b/>
          <w:bCs/>
          <w:sz w:val="32"/>
          <w:szCs w:val="32"/>
        </w:rPr>
        <w:t>第四类：艺术体育特长生。</w:t>
      </w:r>
      <w:r>
        <w:rPr>
          <w:rFonts w:hint="eastAsia" w:ascii="仿宋_GB2312" w:hAnsi="等线" w:eastAsia="仿宋_GB2312" w:cs="仿宋"/>
          <w:sz w:val="32"/>
          <w:szCs w:val="32"/>
        </w:rPr>
        <w:t>文化素质测试根据学生类别不同，分别采取上述第一类或第二类的方式进行。职业技能测试按照《湖南铁道职业技术学院2024年艺术体育特长生职业技能测试大纲》执行。</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第十八条</w:t>
      </w:r>
      <w:r>
        <w:rPr>
          <w:rFonts w:hint="eastAsia" w:ascii="仿宋_GB2312" w:hAnsi="等线" w:eastAsia="仿宋_GB2312" w:cs="仿宋"/>
          <w:sz w:val="32"/>
          <w:szCs w:val="32"/>
        </w:rPr>
        <w:t xml:space="preserve"> 考生的综合成绩为文化素质成绩+职业技能成绩。上述第一类、第二类、第四类考生的高职单招综合成绩（总成绩）满分为600分，第三类考生的综合成绩满分为600分（其中文化素质成绩免试直接折算为300分）。考生的文化素质分值与职业技能分值占比为</w:t>
      </w:r>
      <w:r>
        <w:rPr>
          <w:rFonts w:hint="eastAsia" w:ascii="仿宋_GB2312" w:hAnsi="等线" w:eastAsia="仿宋_GB2312" w:cs="仿宋"/>
          <w:b/>
          <w:bCs/>
          <w:sz w:val="32"/>
          <w:szCs w:val="32"/>
        </w:rPr>
        <w:t>1：1</w:t>
      </w:r>
      <w:r>
        <w:rPr>
          <w:rFonts w:hint="eastAsia" w:ascii="仿宋_GB2312" w:hAnsi="等线" w:eastAsia="仿宋_GB2312" w:cs="仿宋"/>
          <w:sz w:val="32"/>
          <w:szCs w:val="32"/>
        </w:rPr>
        <w:t>，即分别各占300分。</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第十九条</w:t>
      </w:r>
      <w:r>
        <w:rPr>
          <w:rFonts w:hint="eastAsia" w:ascii="仿宋_GB2312" w:hAnsi="等线" w:eastAsia="仿宋_GB2312" w:cs="仿宋"/>
          <w:sz w:val="32"/>
          <w:szCs w:val="32"/>
        </w:rPr>
        <w:t xml:space="preserve">  学校针对第二类考生组织的文化素质测试为</w:t>
      </w:r>
      <w:r>
        <w:rPr>
          <w:rFonts w:hint="eastAsia" w:ascii="仿宋_GB2312" w:hAnsi="等线" w:eastAsia="仿宋_GB2312" w:cs="仿宋"/>
          <w:b/>
          <w:bCs/>
          <w:sz w:val="32"/>
          <w:szCs w:val="32"/>
        </w:rPr>
        <w:t>闭卷笔试方式</w:t>
      </w:r>
      <w:r>
        <w:rPr>
          <w:rFonts w:hint="eastAsia" w:ascii="仿宋_GB2312" w:hAnsi="等线" w:eastAsia="仿宋_GB2312" w:cs="仿宋"/>
          <w:sz w:val="32"/>
          <w:szCs w:val="32"/>
        </w:rPr>
        <w:t>。学校组织职业技能测试，分专业组采取以下方式：</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报考专业组一、专业组二和专业组四（退役军人）的考生，采取笔试方式进行测试，总分300分；</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报考专业组三（现代学徒制）、专业组五（艺术特长）和专业组六（体育特长）的考生，采取笔试或实践操作、技能展示的方式进行测试，总分300分。其中专业组三（现代学徒制）测试方式由学校和企业共同协商确定。</w:t>
      </w:r>
    </w:p>
    <w:p>
      <w:pPr>
        <w:spacing w:line="576" w:lineRule="exact"/>
        <w:ind w:firstLine="643" w:firstLineChars="200"/>
        <w:rPr>
          <w:rFonts w:hint="eastAsia" w:ascii="仿宋_GB2312" w:hAnsi="方正小标宋简体" w:eastAsia="仿宋_GB2312" w:cs="方正小标宋简体"/>
          <w:sz w:val="32"/>
          <w:szCs w:val="32"/>
        </w:rPr>
      </w:pPr>
      <w:r>
        <w:rPr>
          <w:rFonts w:hint="eastAsia" w:ascii="仿宋_GB2312" w:hAnsi="等线" w:eastAsia="仿宋_GB2312" w:cs="仿宋"/>
          <w:b/>
          <w:bCs/>
          <w:sz w:val="32"/>
          <w:szCs w:val="32"/>
        </w:rPr>
        <w:t>第二十条</w:t>
      </w:r>
      <w:r>
        <w:rPr>
          <w:rFonts w:hint="eastAsia" w:ascii="仿宋_GB2312" w:hAnsi="等线" w:eastAsia="仿宋_GB2312" w:cs="仿宋"/>
          <w:sz w:val="32"/>
          <w:szCs w:val="32"/>
        </w:rPr>
        <w:t xml:space="preserve">  学校将按照分类考试的原则，对不同专业组的职业技能测试分别进行命题。学校文化素质测试、职业技能测试的有关说明、考试范围等，将在学校</w:t>
      </w:r>
      <w:r>
        <w:rPr>
          <w:rFonts w:hint="eastAsia" w:ascii="仿宋_GB2312" w:hAnsi="仿宋" w:eastAsia="仿宋_GB2312" w:cs="仿宋"/>
          <w:sz w:val="32"/>
          <w:szCs w:val="32"/>
        </w:rPr>
        <w:t>招生网（</w:t>
      </w:r>
      <w:r>
        <w:rPr>
          <w:rFonts w:hint="eastAsia" w:ascii="仿宋_GB2312" w:hAnsi="等线" w:eastAsia="仿宋_GB2312" w:cs="仿宋"/>
          <w:sz w:val="32"/>
          <w:szCs w:val="32"/>
        </w:rPr>
        <w:t>http://zs.hnrpc.com/）上进行公布。</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第二十一条 </w:t>
      </w:r>
      <w:r>
        <w:rPr>
          <w:rFonts w:hint="eastAsia" w:ascii="仿宋_GB2312" w:hAnsi="等线" w:eastAsia="仿宋_GB2312" w:cs="仿宋"/>
          <w:sz w:val="32"/>
          <w:szCs w:val="32"/>
        </w:rPr>
        <w:t xml:space="preserve"> 符合以下免试条件的考生在单招考试前向学校申请。其中，职业技能特长申请免技能测试的考生，须在</w:t>
      </w:r>
      <w:r>
        <w:rPr>
          <w:rFonts w:hint="eastAsia" w:ascii="仿宋_GB2312" w:hAnsi="等线" w:eastAsia="仿宋_GB2312" w:cs="仿宋"/>
          <w:b/>
          <w:bCs/>
          <w:sz w:val="32"/>
          <w:szCs w:val="32"/>
        </w:rPr>
        <w:t>2024年3月6日</w:t>
      </w:r>
      <w:r>
        <w:rPr>
          <w:rFonts w:hint="eastAsia" w:ascii="仿宋_GB2312" w:hAnsi="等线" w:eastAsia="仿宋_GB2312" w:cs="仿宋"/>
          <w:sz w:val="32"/>
          <w:szCs w:val="32"/>
        </w:rPr>
        <w:t>前，通过</w:t>
      </w:r>
      <w:r>
        <w:rPr>
          <w:rFonts w:hint="eastAsia" w:ascii="仿宋_GB2312" w:hAnsi="等线" w:eastAsia="仿宋_GB2312" w:cs="仿宋"/>
          <w:b/>
          <w:bCs/>
          <w:sz w:val="32"/>
          <w:szCs w:val="32"/>
        </w:rPr>
        <w:t>顺丰快递</w:t>
      </w:r>
      <w:r>
        <w:rPr>
          <w:rFonts w:hint="eastAsia" w:ascii="仿宋_GB2312" w:hAnsi="等线" w:eastAsia="仿宋_GB2312" w:cs="仿宋"/>
          <w:sz w:val="32"/>
          <w:szCs w:val="32"/>
        </w:rPr>
        <w:t>方式，将相关申请材料</w:t>
      </w:r>
      <w:r>
        <w:rPr>
          <w:rFonts w:hint="eastAsia" w:ascii="仿宋_GB2312" w:hAnsi="等线" w:eastAsia="仿宋_GB2312" w:cs="仿宋"/>
          <w:b/>
          <w:bCs/>
          <w:sz w:val="32"/>
          <w:szCs w:val="32"/>
        </w:rPr>
        <w:t>（含考生身份证复印件，比赛奖项的获奖证书原件以及公布比赛获奖名单官方通知等材料）</w:t>
      </w:r>
      <w:r>
        <w:rPr>
          <w:rFonts w:hint="eastAsia" w:ascii="仿宋_GB2312" w:hAnsi="等线" w:eastAsia="仿宋_GB2312" w:cs="仿宋"/>
          <w:sz w:val="32"/>
          <w:szCs w:val="32"/>
        </w:rPr>
        <w:t>报送学校招生就业处，学校统一组织专家审核。免试直接录取的考生不占用单招计划数，使用学校统招计划，在统招录取前完成录取手续办理，有关审核程序和方法由省教育考试院另行规定。</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1.免试直接录取。根据教育部政策规定，中等职业教育应届毕业生，在校期间在世界技能组织主办的“世界技能大赛（WorldSkills Competition）”中获奖的中国国家代表队选手可保送至我校与获奖赛事相应的专业就读；在校期间获“全国职业院校技能大赛”“中国职业技能大赛”一等奖、二等奖、三等奖或“湖南省职业技能大赛”“湖南省职业院校技能竞赛”一等奖（金牌）的，可免试录取到我校与获奖赛事相应的专业就读。</w:t>
      </w:r>
    </w:p>
    <w:p>
      <w:pPr>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报考学校组织的技能测试取得测试成绩，取两项成绩的较高分数计入综合成绩。</w:t>
      </w:r>
    </w:p>
    <w:p>
      <w:pPr>
        <w:spacing w:line="576" w:lineRule="exact"/>
        <w:ind w:firstLine="640" w:firstLineChars="200"/>
        <w:rPr>
          <w:rFonts w:hint="eastAsia" w:ascii="仿宋_GB2312" w:hAnsi="方正小标宋简体" w:eastAsia="仿宋_GB2312" w:cs="方正小标宋简体"/>
          <w:sz w:val="32"/>
          <w:szCs w:val="32"/>
        </w:rPr>
      </w:pPr>
      <w:r>
        <w:rPr>
          <w:rFonts w:hint="eastAsia" w:ascii="仿宋_GB2312" w:hAnsi="等线" w:eastAsia="仿宋_GB2312" w:cs="仿宋"/>
          <w:sz w:val="32"/>
          <w:szCs w:val="32"/>
        </w:rPr>
        <w:t>3.免试考生的录取专业与其获奖赛项对应（考生如需跨专业报考，则不能享受免试政策）。</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第二十二条</w:t>
      </w:r>
      <w:r>
        <w:rPr>
          <w:rFonts w:hint="eastAsia" w:ascii="仿宋_GB2312" w:hAnsi="等线" w:eastAsia="仿宋_GB2312" w:cs="仿宋"/>
          <w:sz w:val="32"/>
          <w:szCs w:val="32"/>
        </w:rPr>
        <w:t xml:space="preserve"> 学校按一志愿、二志愿分别组织单招考试。第一志愿考试时间为</w:t>
      </w:r>
      <w:r>
        <w:rPr>
          <w:rFonts w:hint="eastAsia" w:ascii="仿宋_GB2312" w:hAnsi="等线" w:eastAsia="仿宋_GB2312" w:cs="仿宋"/>
          <w:b/>
          <w:bCs/>
          <w:sz w:val="32"/>
          <w:szCs w:val="32"/>
        </w:rPr>
        <w:t>2024年3月16日-17日</w:t>
      </w:r>
      <w:r>
        <w:rPr>
          <w:rFonts w:hint="eastAsia" w:ascii="仿宋_GB2312" w:hAnsi="等线" w:eastAsia="仿宋_GB2312" w:cs="仿宋"/>
          <w:sz w:val="32"/>
          <w:szCs w:val="32"/>
        </w:rPr>
        <w:t>。若第一志愿生源不足，未完成单招计划，学校将组织第二志愿考试，参考对象为第二志愿报考学校且未被第一志愿学校录取考生，时间为</w:t>
      </w:r>
      <w:r>
        <w:rPr>
          <w:rFonts w:hint="eastAsia" w:ascii="仿宋_GB2312" w:hAnsi="等线" w:eastAsia="仿宋_GB2312" w:cs="仿宋"/>
          <w:b/>
          <w:bCs/>
          <w:sz w:val="32"/>
          <w:szCs w:val="32"/>
        </w:rPr>
        <w:t>2024年4月13日-14日。</w:t>
      </w:r>
      <w:r>
        <w:rPr>
          <w:rFonts w:hint="eastAsia" w:ascii="仿宋_GB2312" w:hAnsi="等线" w:eastAsia="仿宋_GB2312" w:cs="仿宋"/>
          <w:sz w:val="32"/>
          <w:szCs w:val="32"/>
        </w:rPr>
        <w:t>各科目的具体考试时间及地点将在学校官网上另行公布。</w:t>
      </w:r>
    </w:p>
    <w:p>
      <w:pPr>
        <w:spacing w:line="576" w:lineRule="exact"/>
        <w:ind w:firstLine="643" w:firstLineChars="200"/>
        <w:rPr>
          <w:rFonts w:hint="eastAsia" w:ascii="仿宋_GB2312" w:hAnsi="仿宋" w:eastAsia="仿宋_GB2312" w:cs="仿宋"/>
          <w:sz w:val="32"/>
          <w:szCs w:val="32"/>
        </w:rPr>
      </w:pPr>
      <w:r>
        <w:rPr>
          <w:rFonts w:hint="eastAsia" w:ascii="仿宋_GB2312" w:hAnsi="等线" w:eastAsia="仿宋_GB2312" w:cs="仿宋"/>
          <w:b/>
          <w:bCs/>
          <w:sz w:val="32"/>
          <w:szCs w:val="32"/>
        </w:rPr>
        <w:t xml:space="preserve">第二十三条 </w:t>
      </w:r>
      <w:r>
        <w:rPr>
          <w:rFonts w:hint="eastAsia" w:ascii="仿宋_GB2312" w:hAnsi="等线" w:eastAsia="仿宋_GB2312" w:cs="仿宋"/>
          <w:sz w:val="32"/>
          <w:szCs w:val="32"/>
        </w:rPr>
        <w:t>根据物价部门统一规定，高职单招的报考费为</w:t>
      </w:r>
      <w:r>
        <w:rPr>
          <w:rFonts w:hint="eastAsia" w:ascii="仿宋_GB2312" w:hAnsi="等线" w:eastAsia="仿宋_GB2312" w:cs="仿宋"/>
          <w:b/>
          <w:bCs/>
          <w:sz w:val="32"/>
          <w:szCs w:val="32"/>
        </w:rPr>
        <w:t>80元/生</w:t>
      </w:r>
      <w:r>
        <w:rPr>
          <w:rFonts w:hint="eastAsia" w:ascii="仿宋_GB2312" w:hAnsi="等线" w:eastAsia="仿宋_GB2312" w:cs="仿宋"/>
          <w:sz w:val="32"/>
          <w:szCs w:val="32"/>
        </w:rPr>
        <w:t>。报考学校第</w:t>
      </w:r>
      <w:r>
        <w:rPr>
          <w:rFonts w:hint="eastAsia" w:ascii="仿宋_GB2312" w:hAnsi="仿宋" w:eastAsia="仿宋_GB2312" w:cs="仿宋"/>
          <w:sz w:val="32"/>
          <w:szCs w:val="32"/>
        </w:rPr>
        <w:t>一志愿且符合考试资格的考生缴费时间为</w:t>
      </w:r>
      <w:r>
        <w:rPr>
          <w:rFonts w:hint="eastAsia" w:ascii="仿宋_GB2312" w:hAnsi="等线" w:eastAsia="仿宋_GB2312" w:cs="仿宋"/>
          <w:sz w:val="32"/>
          <w:szCs w:val="32"/>
        </w:rPr>
        <w:t xml:space="preserve"> </w:t>
      </w:r>
      <w:r>
        <w:rPr>
          <w:rFonts w:hint="eastAsia" w:ascii="仿宋_GB2312" w:hAnsi="等线" w:eastAsia="仿宋_GB2312" w:cs="仿宋"/>
          <w:b/>
          <w:bCs/>
          <w:sz w:val="32"/>
          <w:szCs w:val="32"/>
        </w:rPr>
        <w:t>2024年3月9日-10日</w:t>
      </w:r>
      <w:r>
        <w:rPr>
          <w:rFonts w:hint="eastAsia" w:ascii="仿宋_GB2312" w:hAnsi="等线" w:eastAsia="仿宋_GB2312" w:cs="仿宋"/>
          <w:sz w:val="32"/>
          <w:szCs w:val="32"/>
        </w:rPr>
        <w:t>，</w:t>
      </w:r>
      <w:r>
        <w:rPr>
          <w:rFonts w:hint="eastAsia" w:ascii="仿宋_GB2312" w:hAnsi="仿宋" w:eastAsia="仿宋_GB2312" w:cs="仿宋"/>
          <w:sz w:val="32"/>
          <w:szCs w:val="32"/>
        </w:rPr>
        <w:t>缴纳方式为</w:t>
      </w:r>
      <w:r>
        <w:rPr>
          <w:rFonts w:hint="eastAsia" w:ascii="仿宋_GB2312" w:hAnsi="仿宋" w:eastAsia="仿宋_GB2312" w:cs="仿宋"/>
          <w:b/>
          <w:bCs/>
          <w:sz w:val="32"/>
          <w:szCs w:val="32"/>
        </w:rPr>
        <w:t>学校官微自助缴纳</w:t>
      </w:r>
      <w:r>
        <w:rPr>
          <w:rFonts w:hint="eastAsia" w:ascii="仿宋_GB2312" w:hAnsi="仿宋" w:eastAsia="仿宋_GB2312" w:cs="仿宋"/>
          <w:sz w:val="32"/>
          <w:szCs w:val="32"/>
        </w:rPr>
        <w:t>。未在规定时间内缴费的，不得参加学校单招考试及录取。缴费成功的考生于</w:t>
      </w:r>
      <w:r>
        <w:rPr>
          <w:rFonts w:hint="eastAsia" w:ascii="仿宋_GB2312" w:hAnsi="仿宋" w:eastAsia="仿宋_GB2312" w:cs="仿宋"/>
          <w:b/>
          <w:bCs/>
          <w:sz w:val="32"/>
          <w:szCs w:val="32"/>
        </w:rPr>
        <w:t>2024年</w:t>
      </w:r>
      <w:r>
        <w:rPr>
          <w:rFonts w:hint="eastAsia" w:ascii="仿宋_GB2312" w:hAnsi="等线" w:eastAsia="仿宋_GB2312" w:cs="仿宋"/>
          <w:b/>
          <w:bCs/>
          <w:sz w:val="32"/>
          <w:szCs w:val="32"/>
        </w:rPr>
        <w:t>3</w:t>
      </w:r>
      <w:r>
        <w:rPr>
          <w:rFonts w:hint="eastAsia" w:ascii="仿宋_GB2312" w:hAnsi="仿宋" w:eastAsia="仿宋_GB2312" w:cs="仿宋"/>
          <w:b/>
          <w:bCs/>
          <w:sz w:val="32"/>
          <w:szCs w:val="32"/>
        </w:rPr>
        <w:t>月</w:t>
      </w:r>
      <w:r>
        <w:rPr>
          <w:rFonts w:hint="eastAsia" w:ascii="仿宋_GB2312" w:hAnsi="等线" w:eastAsia="仿宋_GB2312" w:cs="仿宋"/>
          <w:b/>
          <w:bCs/>
          <w:sz w:val="32"/>
          <w:szCs w:val="32"/>
        </w:rPr>
        <w:t>14</w:t>
      </w:r>
      <w:r>
        <w:rPr>
          <w:rFonts w:hint="eastAsia" w:ascii="仿宋_GB2312" w:hAnsi="仿宋" w:eastAsia="仿宋_GB2312" w:cs="仿宋"/>
          <w:b/>
          <w:bCs/>
          <w:sz w:val="32"/>
          <w:szCs w:val="32"/>
        </w:rPr>
        <w:t>日-15日</w:t>
      </w:r>
      <w:r>
        <w:rPr>
          <w:rFonts w:hint="eastAsia" w:ascii="仿宋_GB2312" w:hAnsi="仿宋" w:eastAsia="仿宋_GB2312" w:cs="仿宋"/>
          <w:sz w:val="32"/>
          <w:szCs w:val="32"/>
        </w:rPr>
        <w:t xml:space="preserve">登录 </w:t>
      </w:r>
      <w:r>
        <w:rPr>
          <w:rFonts w:hint="eastAsia" w:ascii="仿宋_GB2312" w:hAnsi="仿宋" w:eastAsia="仿宋_GB2312" w:cs="仿宋"/>
          <w:b/>
          <w:bCs/>
          <w:sz w:val="32"/>
          <w:szCs w:val="32"/>
        </w:rPr>
        <w:t>学校官微自行打印准考证</w:t>
      </w:r>
      <w:r>
        <w:rPr>
          <w:rFonts w:hint="eastAsia" w:ascii="仿宋_GB2312" w:hAnsi="仿宋" w:eastAsia="仿宋_GB2312" w:cs="仿宋"/>
          <w:sz w:val="32"/>
          <w:szCs w:val="32"/>
        </w:rPr>
        <w:t>。第二志愿考生缴费及准考证打印时间学校另行公布。</w:t>
      </w:r>
      <w:r>
        <w:rPr>
          <w:rFonts w:hint="eastAsia" w:ascii="仿宋_GB2312" w:hAnsi="等线" w:eastAsia="仿宋_GB2312" w:cs="仿宋"/>
          <w:sz w:val="32"/>
          <w:szCs w:val="32"/>
        </w:rPr>
        <w:t xml:space="preserve">缴费咨询电话： </w:t>
      </w:r>
      <w:r>
        <w:rPr>
          <w:rFonts w:hint="eastAsia" w:ascii="仿宋_GB2312" w:hAnsi="等线" w:eastAsia="仿宋_GB2312" w:cs="仿宋"/>
          <w:b/>
          <w:bCs/>
          <w:sz w:val="32"/>
          <w:szCs w:val="32"/>
        </w:rPr>
        <w:t>0731-22783822</w:t>
      </w:r>
      <w:r>
        <w:rPr>
          <w:rFonts w:hint="eastAsia" w:ascii="仿宋_GB2312" w:hAnsi="等线" w:eastAsia="仿宋_GB2312" w:cs="仿宋"/>
          <w:sz w:val="32"/>
          <w:szCs w:val="32"/>
        </w:rPr>
        <w:t xml:space="preserve"> ，打印准考证咨询电话： </w:t>
      </w:r>
      <w:r>
        <w:rPr>
          <w:rFonts w:hint="eastAsia" w:ascii="仿宋_GB2312" w:hAnsi="等线" w:eastAsia="仿宋_GB2312" w:cs="仿宋"/>
          <w:b/>
          <w:bCs/>
          <w:sz w:val="32"/>
          <w:szCs w:val="32"/>
        </w:rPr>
        <w:t xml:space="preserve">0731-22783888 </w:t>
      </w:r>
      <w:r>
        <w:rPr>
          <w:rFonts w:hint="eastAsia" w:ascii="仿宋_GB2312" w:hAnsi="等线" w:eastAsia="仿宋_GB2312" w:cs="仿宋"/>
          <w:sz w:val="32"/>
          <w:szCs w:val="32"/>
        </w:rPr>
        <w:t>。</w:t>
      </w:r>
      <w:r>
        <w:rPr>
          <w:rFonts w:hint="eastAsia" w:ascii="仿宋_GB2312" w:hAnsi="仿宋" w:eastAsia="仿宋_GB2312" w:cs="仿宋"/>
          <w:sz w:val="32"/>
          <w:szCs w:val="32"/>
        </w:rPr>
        <w:t>缴费及</w:t>
      </w:r>
      <w:r>
        <w:rPr>
          <w:rFonts w:hint="eastAsia" w:ascii="仿宋_GB2312" w:hAnsi="等线" w:eastAsia="仿宋_GB2312" w:cs="仿宋"/>
          <w:sz w:val="32"/>
          <w:szCs w:val="32"/>
        </w:rPr>
        <w:t>准考证打印</w:t>
      </w:r>
      <w:r>
        <w:rPr>
          <w:rFonts w:hint="eastAsia" w:ascii="仿宋_GB2312" w:hAnsi="仿宋" w:eastAsia="仿宋_GB2312" w:cs="仿宋"/>
          <w:sz w:val="32"/>
          <w:szCs w:val="32"/>
        </w:rPr>
        <w:t>流程详见学校招生网（</w:t>
      </w:r>
      <w:r>
        <w:rPr>
          <w:rFonts w:hint="eastAsia" w:ascii="仿宋_GB2312" w:hAnsi="等线" w:eastAsia="仿宋_GB2312" w:cs="仿宋"/>
          <w:sz w:val="32"/>
          <w:szCs w:val="32"/>
        </w:rPr>
        <w:fldChar w:fldCharType="begin"/>
      </w:r>
      <w:r>
        <w:rPr>
          <w:rFonts w:hint="eastAsia" w:ascii="仿宋_GB2312" w:hAnsi="等线" w:eastAsia="仿宋_GB2312" w:cs="仿宋"/>
          <w:sz w:val="32"/>
          <w:szCs w:val="32"/>
        </w:rPr>
        <w:instrText xml:space="preserve">HYPERLINK "http://zs.hnrpc.com/"</w:instrText>
      </w:r>
      <w:r>
        <w:rPr>
          <w:rFonts w:hint="eastAsia" w:ascii="仿宋_GB2312" w:hAnsi="等线" w:eastAsia="仿宋_GB2312" w:cs="仿宋"/>
          <w:sz w:val="32"/>
          <w:szCs w:val="32"/>
        </w:rPr>
        <w:fldChar w:fldCharType="separate"/>
      </w:r>
      <w:r>
        <w:rPr>
          <w:rStyle w:val="14"/>
          <w:rFonts w:hint="eastAsia" w:ascii="仿宋_GB2312" w:hAnsi="等线" w:eastAsia="仿宋_GB2312" w:cs="仿宋"/>
          <w:color w:val="auto"/>
          <w:sz w:val="32"/>
          <w:szCs w:val="32"/>
          <w:u w:val="none"/>
        </w:rPr>
        <w:t>http://zs.hnrpc.com/</w:t>
      </w:r>
      <w:r>
        <w:rPr>
          <w:rFonts w:hint="eastAsia" w:ascii="仿宋_GB2312" w:hAnsi="等线" w:eastAsia="仿宋_GB2312" w:cs="仿宋"/>
          <w:sz w:val="32"/>
          <w:szCs w:val="32"/>
        </w:rPr>
        <w:fldChar w:fldCharType="end"/>
      </w:r>
      <w:r>
        <w:rPr>
          <w:rFonts w:hint="eastAsia" w:ascii="仿宋_GB2312" w:hAnsi="等线" w:eastAsia="仿宋_GB2312" w:cs="仿宋"/>
          <w:sz w:val="32"/>
          <w:szCs w:val="32"/>
        </w:rPr>
        <w:t>）。</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第二十四条</w:t>
      </w:r>
      <w:r>
        <w:rPr>
          <w:rFonts w:hint="eastAsia" w:ascii="仿宋_GB2312" w:hAnsi="等线" w:eastAsia="仿宋_GB2312" w:cs="仿宋"/>
          <w:sz w:val="32"/>
          <w:szCs w:val="32"/>
        </w:rPr>
        <w:t xml:space="preserve"> 学校单招考试在省教育考试院的指导下，参照国家教育考试规定进行组织。在学校招生工作领导小组的统筹下，教务处、纪检监察处、招生就业处等部门共同组织考务工作。具体由教务处牵头组织命题，并负责其保密工作；教务处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pPr>
        <w:spacing w:line="576"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第六章  单招录取</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第二十五条</w:t>
      </w:r>
      <w:r>
        <w:rPr>
          <w:rFonts w:hint="eastAsia" w:ascii="仿宋_GB2312" w:hAnsi="等线" w:eastAsia="仿宋_GB2312" w:cs="仿宋"/>
          <w:sz w:val="32"/>
          <w:szCs w:val="32"/>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第二十六条</w:t>
      </w:r>
      <w:r>
        <w:rPr>
          <w:rFonts w:hint="eastAsia" w:ascii="仿宋_GB2312" w:hAnsi="等线" w:eastAsia="仿宋_GB2312" w:cs="仿宋"/>
          <w:sz w:val="32"/>
          <w:szCs w:val="32"/>
        </w:rPr>
        <w:t xml:space="preserve"> 单招录取首先对报考单列计划的考生（第三类、第四类考生）进行录取。单列计划只录取第一志愿报考的考生，专业组三（现代学徒制）只录取第一志愿报考的考生。</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第二十七条 </w:t>
      </w:r>
      <w:r>
        <w:rPr>
          <w:rFonts w:hint="eastAsia" w:ascii="仿宋_GB2312" w:hAnsi="等线" w:eastAsia="仿宋_GB2312" w:cs="仿宋"/>
          <w:sz w:val="32"/>
          <w:szCs w:val="32"/>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式计算可得第一类、第二类考生的计划数为71、24人。第一类考生计划数计算公式：95/（150+50）</w:t>
      </w:r>
      <w:r>
        <w:rPr>
          <w:rFonts w:hint="eastAsia" w:ascii="仿宋_GB2312" w:hAnsi="汉仪细圆B5" w:eastAsia="仿宋_GB2312" w:cs="汉仪细圆B5"/>
          <w:sz w:val="32"/>
          <w:szCs w:val="32"/>
        </w:rPr>
        <w:t>×150</w:t>
      </w:r>
      <w:r>
        <w:rPr>
          <w:rFonts w:hint="eastAsia" w:ascii="仿宋_GB2312" w:hAnsi="等线" w:eastAsia="仿宋_GB2312" w:cs="仿宋"/>
          <w:sz w:val="32"/>
          <w:szCs w:val="32"/>
        </w:rPr>
        <w:t>。各类别各专业计划确定后，录取过程中不再调整和追加。</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第二十八条</w:t>
      </w:r>
      <w:r>
        <w:rPr>
          <w:rFonts w:hint="eastAsia" w:ascii="仿宋_GB2312" w:hAnsi="等线" w:eastAsia="仿宋_GB2312" w:cs="仿宋"/>
          <w:sz w:val="32"/>
          <w:szCs w:val="32"/>
        </w:rPr>
        <w:t xml:space="preserve"> 单招录取工作按照“学校负责、招办监督”的原则进行。各专业组录取时，按照 </w:t>
      </w:r>
      <w:r>
        <w:rPr>
          <w:rFonts w:hint="eastAsia" w:ascii="仿宋_GB2312" w:hAnsi="等线" w:eastAsia="仿宋_GB2312" w:cs="仿宋"/>
          <w:b/>
          <w:bCs/>
          <w:sz w:val="32"/>
          <w:szCs w:val="32"/>
        </w:rPr>
        <w:t xml:space="preserve">分数优先 </w:t>
      </w:r>
      <w:r>
        <w:rPr>
          <w:rFonts w:hint="eastAsia" w:ascii="仿宋_GB2312" w:hAnsi="等线" w:eastAsia="仿宋_GB2312" w:cs="仿宋"/>
          <w:sz w:val="32"/>
          <w:szCs w:val="32"/>
        </w:rPr>
        <w:t>的方式进行。各专业组录取按照以下顺序进行。</w:t>
      </w:r>
    </w:p>
    <w:p>
      <w:pPr>
        <w:widowControl/>
        <w:numPr>
          <w:ilvl w:val="0"/>
          <w:numId w:val="4"/>
        </w:numPr>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单列——专业组四（退役军人）考生。达到合格标准的考生按考生综合成绩从高分到低分按所填报专业进行预录取，录完为止。若出现放弃录取资格或空缺的招生计划，</w:t>
      </w:r>
      <w:r>
        <w:rPr>
          <w:rFonts w:hint="eastAsia" w:ascii="仿宋_GB2312" w:eastAsia="仿宋_GB2312"/>
          <w:sz w:val="32"/>
          <w:szCs w:val="32"/>
        </w:rPr>
        <w:t>用于普通类计划录取</w:t>
      </w:r>
      <w:r>
        <w:rPr>
          <w:rFonts w:hint="eastAsia" w:ascii="仿宋_GB2312" w:hAnsi="等线" w:eastAsia="仿宋_GB2312" w:cs="仿宋"/>
          <w:sz w:val="32"/>
          <w:szCs w:val="32"/>
        </w:rPr>
        <w:t>。</w:t>
      </w:r>
    </w:p>
    <w:p>
      <w:pPr>
        <w:widowControl/>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2.单列——专业组五（艺术特长）、专业组六（体育特长）考生。具体规则详见《湖南铁道职业技术学院2024年艺术体育特长生高职单招方案》。</w:t>
      </w:r>
    </w:p>
    <w:p>
      <w:pPr>
        <w:widowControl/>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3.普通类——专业组一、专业组二考生。达到合格标准的考生根据各专业分类别招生计划数，依据考生综合成绩从高分到低分按所填报专业进行预录取，若出现放弃录取资格或空缺的招生计划不补录，用于第二志愿录取。</w:t>
      </w:r>
    </w:p>
    <w:p>
      <w:pPr>
        <w:widowControl/>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4.普通类——专业组三（现代学徒制）考生。达到合格标准的考生根据各专业分类别招生计划数，依据考生综合成绩从高分到低分按所填报的第一专业志愿进行预录取，若出现放弃录取资格或空缺的招生计划不补录，用于补充到第二志愿的专业组二的相同专业录取。</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第二十九条</w:t>
      </w:r>
      <w:r>
        <w:rPr>
          <w:rFonts w:hint="eastAsia" w:ascii="仿宋_GB2312" w:hAnsi="等线" w:eastAsia="仿宋_GB2312" w:cs="仿宋"/>
          <w:sz w:val="32"/>
          <w:szCs w:val="32"/>
        </w:rPr>
        <w:t xml:space="preserve"> 对于末位同分的考生，依据以下排序原则进行录取。同分排序规则为：专业组一、专业组二和专业组三（现代学徒制）按照文化素质测试成绩从高到低排名录取；若文化素质测试成绩再相同，则按照“语、数、外(物)”的顺序进行单科成绩从高到低排名录取；专业组五（艺术特长）、专业组六（体育特长）则按照职业技能测试成绩从高到低排名录取，若职业技能测试成绩再相同，则按照“语、数、外(物)”的顺序进行单科成绩从高到低排名录取；专业组四（退役军人）加试第二轮。</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第三十条 </w:t>
      </w:r>
      <w:r>
        <w:rPr>
          <w:rFonts w:hint="eastAsia" w:ascii="仿宋_GB2312" w:hAnsi="等线" w:eastAsia="仿宋_GB2312" w:cs="仿宋"/>
          <w:sz w:val="32"/>
          <w:szCs w:val="32"/>
        </w:rPr>
        <w:t>为保障生源质量，学校提前确定录取合格标准，未合格的不予录取。合格标准是：</w:t>
      </w:r>
    </w:p>
    <w:p>
      <w:pPr>
        <w:widowControl/>
        <w:numPr>
          <w:ilvl w:val="0"/>
          <w:numId w:val="5"/>
        </w:numPr>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专业组一、专业组二、专业组三（现代学徒制）：文化素质测试成绩大于等于180分；</w:t>
      </w:r>
    </w:p>
    <w:p>
      <w:pPr>
        <w:widowControl/>
        <w:numPr>
          <w:ilvl w:val="0"/>
          <w:numId w:val="5"/>
        </w:numPr>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Calibri" w:eastAsia="仿宋_GB2312" w:cs="Calibri"/>
          <w:sz w:val="32"/>
          <w:szCs w:val="32"/>
        </w:rPr>
        <w:t>专业组四（</w:t>
      </w:r>
      <w:r>
        <w:rPr>
          <w:rFonts w:hint="eastAsia" w:ascii="仿宋_GB2312" w:hAnsi="等线" w:eastAsia="仿宋_GB2312" w:cs="仿宋"/>
          <w:sz w:val="32"/>
          <w:szCs w:val="32"/>
        </w:rPr>
        <w:t>退役军人）：文化素质测试免试，职业技能测试无最低分限制；</w:t>
      </w:r>
    </w:p>
    <w:p>
      <w:pPr>
        <w:widowControl/>
        <w:numPr>
          <w:ilvl w:val="0"/>
          <w:numId w:val="5"/>
        </w:numPr>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专业组五（艺术特长）、专业组六（体育特长）：职业技能</w:t>
      </w:r>
      <w:r>
        <w:rPr>
          <w:rFonts w:hint="eastAsia" w:ascii="仿宋_GB2312" w:eastAsia="仿宋_GB2312" w:cs="仿宋"/>
          <w:sz w:val="32"/>
          <w:szCs w:val="32"/>
        </w:rPr>
        <w:t>测试</w:t>
      </w:r>
      <w:r>
        <w:rPr>
          <w:rFonts w:hint="eastAsia" w:ascii="仿宋_GB2312" w:eastAsia="仿宋_GB2312"/>
          <w:sz w:val="32"/>
          <w:szCs w:val="32"/>
        </w:rPr>
        <w:t>成绩</w:t>
      </w:r>
      <w:r>
        <w:rPr>
          <w:rFonts w:hint="eastAsia" w:ascii="仿宋_GB2312" w:hAnsi="等线" w:eastAsia="仿宋_GB2312" w:cs="仿宋"/>
          <w:sz w:val="32"/>
          <w:szCs w:val="32"/>
        </w:rPr>
        <w:t>大于等于260分。</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第三十一条 </w:t>
      </w:r>
      <w:r>
        <w:rPr>
          <w:rFonts w:hint="eastAsia" w:ascii="仿宋_GB2312" w:hAnsi="等线" w:eastAsia="仿宋_GB2312" w:cs="仿宋"/>
          <w:sz w:val="32"/>
          <w:szCs w:val="32"/>
        </w:rPr>
        <w:t>学校将通过招生网</w:t>
      </w:r>
      <w:r>
        <w:rPr>
          <w:rFonts w:hint="eastAsia" w:ascii="仿宋_GB2312" w:hAnsi="等线" w:eastAsia="仿宋_GB2312" w:cs="仿宋"/>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"http://zs.hnrpc.com/" </w:instrText>
      </w:r>
      <w:r>
        <w:rPr>
          <w:rFonts w:hint="eastAsia" w:ascii="仿宋_GB2312" w:eastAsia="仿宋_GB2312"/>
          <w:sz w:val="28"/>
          <w:szCs w:val="28"/>
        </w:rPr>
        <w:fldChar w:fldCharType="separate"/>
      </w:r>
      <w:r>
        <w:rPr>
          <w:rStyle w:val="14"/>
          <w:rFonts w:hint="eastAsia" w:ascii="仿宋_GB2312" w:hAnsi="等线" w:eastAsia="仿宋_GB2312" w:cs="仿宋"/>
          <w:color w:val="auto"/>
          <w:sz w:val="28"/>
          <w:szCs w:val="28"/>
          <w:u w:val="none"/>
        </w:rPr>
        <w:t>http://zs.hnrpc.com/</w:t>
      </w:r>
      <w:r>
        <w:rPr>
          <w:rStyle w:val="14"/>
          <w:rFonts w:hint="eastAsia" w:ascii="仿宋_GB2312" w:hAnsi="等线" w:eastAsia="仿宋_GB2312" w:cs="仿宋"/>
          <w:color w:val="auto"/>
          <w:sz w:val="28"/>
          <w:szCs w:val="28"/>
          <w:u w:val="none"/>
        </w:rPr>
        <w:fldChar w:fldCharType="end"/>
      </w:r>
      <w:r>
        <w:rPr>
          <w:rFonts w:hint="eastAsia" w:ascii="仿宋_GB2312" w:hAnsi="等线" w:eastAsia="仿宋_GB2312" w:cs="仿宋"/>
          <w:sz w:val="28"/>
          <w:szCs w:val="28"/>
        </w:rPr>
        <w:t>）</w:t>
      </w:r>
      <w:r>
        <w:rPr>
          <w:rFonts w:hint="eastAsia" w:ascii="仿宋_GB2312" w:hAnsi="等线" w:eastAsia="仿宋_GB2312" w:cs="仿宋"/>
          <w:sz w:val="32"/>
          <w:szCs w:val="32"/>
        </w:rPr>
        <w:t>发布预录取名单，预录取名单内考生需在学校规定时间内办理相关录取确认手续，未按要求办理录取确认手续的考生，视为自愿放弃录取资格。</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第三十二条</w:t>
      </w:r>
      <w:r>
        <w:rPr>
          <w:rFonts w:hint="eastAsia" w:ascii="仿宋_GB2312" w:hAnsi="等线" w:eastAsia="仿宋_GB2312" w:cs="仿宋"/>
          <w:sz w:val="32"/>
          <w:szCs w:val="32"/>
        </w:rPr>
        <w:t xml:space="preserve"> 单招录取的学生不得参加本年度统一高考和普通高校对口招生考试。单招录取的学生不得转学。</w:t>
      </w:r>
    </w:p>
    <w:p>
      <w:pPr>
        <w:pStyle w:val="4"/>
        <w:overflowPunct w:val="0"/>
        <w:spacing w:before="0" w:line="576" w:lineRule="exact"/>
        <w:ind w:left="0" w:firstLine="640" w:firstLineChars="200"/>
        <w:rPr>
          <w:rFonts w:hint="eastAsia" w:ascii="仿宋_GB2312" w:hAnsi="等线" w:eastAsia="仿宋_GB2312" w:cs="仿宋"/>
          <w:lang w:val="en-US" w:bidi="ar-SA"/>
        </w:rPr>
      </w:pPr>
      <w:r>
        <w:rPr>
          <w:rFonts w:hint="eastAsia" w:ascii="仿宋_GB2312" w:hAnsi="等线" w:eastAsia="仿宋_GB2312" w:cs="仿宋"/>
          <w:lang w:val="en-US" w:bidi="ar-SA"/>
        </w:rPr>
        <w:t>1.考生入校后，中外合作办学项目专业公共外语为俄语，其他专业公共外语统一为英语。</w:t>
      </w:r>
    </w:p>
    <w:p>
      <w:pPr>
        <w:pStyle w:val="4"/>
        <w:overflowPunct w:val="0"/>
        <w:spacing w:before="0" w:line="576" w:lineRule="exact"/>
        <w:ind w:left="0" w:firstLine="640" w:firstLineChars="200"/>
        <w:rPr>
          <w:rFonts w:hint="eastAsia" w:ascii="仿宋_GB2312" w:hAnsi="等线" w:eastAsia="仿宋_GB2312" w:cs="仿宋"/>
          <w:lang w:val="en-US" w:bidi="ar-SA"/>
        </w:rPr>
      </w:pPr>
      <w:r>
        <w:rPr>
          <w:rFonts w:hint="eastAsia" w:ascii="仿宋_GB2312" w:hAnsi="等线" w:eastAsia="仿宋_GB2312" w:cs="仿宋"/>
          <w:lang w:val="en-US" w:bidi="ar-SA"/>
        </w:rPr>
        <w:t>2.录取到中外合作办学项目专业、现代学徒制专业的考生，均不能转专业。</w:t>
      </w:r>
    </w:p>
    <w:p>
      <w:pPr>
        <w:pStyle w:val="4"/>
        <w:overflowPunct w:val="0"/>
        <w:spacing w:before="0" w:line="576" w:lineRule="exact"/>
        <w:ind w:left="0" w:firstLine="640" w:firstLineChars="200"/>
        <w:rPr>
          <w:rFonts w:hint="eastAsia" w:ascii="仿宋_GB2312" w:hAnsi="等线" w:eastAsia="仿宋_GB2312" w:cs="仿宋"/>
          <w:lang w:val="en-US" w:bidi="ar-SA"/>
        </w:rPr>
      </w:pPr>
      <w:r>
        <w:rPr>
          <w:rFonts w:hint="eastAsia" w:ascii="仿宋_GB2312" w:hAnsi="等线" w:eastAsia="仿宋_GB2312" w:cs="仿宋"/>
          <w:lang w:val="en-US" w:bidi="ar-SA"/>
        </w:rPr>
        <w:t>3.录取到中外合作办学项目专业、现代学徒制专业之外的考生在入校后，特殊情况需转专业的，必须按照教育部和省教育厅有关政策及学校相关规定办理。</w:t>
      </w:r>
    </w:p>
    <w:p>
      <w:pPr>
        <w:pStyle w:val="4"/>
        <w:overflowPunct w:val="0"/>
        <w:spacing w:before="0" w:line="576" w:lineRule="exact"/>
        <w:ind w:left="0" w:firstLine="640" w:firstLineChars="200"/>
        <w:rPr>
          <w:rFonts w:hint="eastAsia" w:ascii="仿宋_GB2312" w:hAnsi="等线" w:eastAsia="仿宋_GB2312" w:cs="仿宋"/>
          <w:lang w:val="en-US" w:bidi="ar-SA"/>
        </w:rPr>
      </w:pPr>
      <w:r>
        <w:rPr>
          <w:rFonts w:hint="eastAsia" w:ascii="仿宋_GB2312" w:hAnsi="等线" w:eastAsia="仿宋_GB2312" w:cs="仿宋"/>
          <w:lang w:val="en-US" w:bidi="ar-SA"/>
        </w:rPr>
        <w:t>4.录取到现代学徒制专业的考生要与录取专业对应的现代学徒制合作企业签订承诺书，在校期间不能参加其他企业应聘。</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第三十三条</w:t>
      </w:r>
      <w:r>
        <w:rPr>
          <w:rFonts w:hint="eastAsia" w:ascii="仿宋_GB2312" w:hAnsi="等线" w:eastAsia="仿宋_GB2312" w:cs="仿宋"/>
          <w:sz w:val="32"/>
          <w:szCs w:val="32"/>
        </w:rPr>
        <w:t xml:space="preserve"> 退役军人考生录取后，学校采用全日制集中(全脱产)学习管理形式。</w:t>
      </w:r>
    </w:p>
    <w:p>
      <w:pPr>
        <w:widowControl/>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第三十四条 </w:t>
      </w:r>
      <w:r>
        <w:rPr>
          <w:rFonts w:hint="eastAsia" w:ascii="仿宋_GB2312" w:hAnsi="等线" w:eastAsia="仿宋_GB2312" w:cs="仿宋"/>
          <w:sz w:val="32"/>
          <w:szCs w:val="32"/>
        </w:rPr>
        <w:t>单招第一志愿录取结束后，如有剩余专业计划，学校将向社会公布有缺额的专业及计划数，并组织第二志愿报考学校且未被第一志愿录取考生举行考试。第二志愿考试要求及录取规则等与第一志愿的相关规定一致。单招第二志愿录取结束后，未完成的计划转为统招计划使用。</w:t>
      </w:r>
    </w:p>
    <w:p>
      <w:pPr>
        <w:widowControl/>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如出现考生第一志愿、第二志愿同时填报学校情况，学校只认可该考生第一志愿报考信息，按录取规则进行录取。</w:t>
      </w:r>
    </w:p>
    <w:p>
      <w:pPr>
        <w:widowControl/>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有下列情形的考生，将取消其录取资格：</w:t>
      </w:r>
    </w:p>
    <w:p>
      <w:pPr>
        <w:widowControl/>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1.任一测试缺考的考生；</w:t>
      </w:r>
    </w:p>
    <w:p>
      <w:pPr>
        <w:widowControl/>
        <w:shd w:val="clear" w:color="auto" w:fill="FFFFFF"/>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2.被认定有舞弊、代考行为的考生。</w:t>
      </w:r>
    </w:p>
    <w:p>
      <w:pPr>
        <w:spacing w:line="576"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第七章  监督管理</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第三十五条 </w:t>
      </w:r>
      <w:r>
        <w:rPr>
          <w:rFonts w:hint="eastAsia" w:ascii="仿宋_GB2312" w:hAnsi="等线" w:eastAsia="仿宋_GB2312" w:cs="仿宋"/>
          <w:sz w:val="32"/>
          <w:szCs w:val="32"/>
        </w:rPr>
        <w:t>单招考试及录取结束后，学校按照要求及时将考试结果及拟录取考生情况在学校官网公示。</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第三十六条 </w:t>
      </w:r>
      <w:r>
        <w:rPr>
          <w:rFonts w:hint="eastAsia" w:ascii="仿宋_GB2312" w:hAnsi="等线" w:eastAsia="仿宋_GB2312" w:cs="仿宋"/>
          <w:sz w:val="32"/>
          <w:szCs w:val="32"/>
        </w:rPr>
        <w:t>单招期间，确保规范有序、公平公正，在学校纪检监察处全程监督检查下进行单招考试、录取等工作。</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第三十七条 </w:t>
      </w:r>
      <w:r>
        <w:rPr>
          <w:rFonts w:hint="eastAsia" w:ascii="仿宋_GB2312" w:hAnsi="等线" w:eastAsia="仿宋_GB2312" w:cs="仿宋"/>
          <w:sz w:val="32"/>
          <w:szCs w:val="32"/>
        </w:rPr>
        <w:t>学校单招工作严格执行教育部和省教育厅政策规定和纪律要求，没有举办所谓的考前“辅导班”“培训班”，没有与任何社会机构及人员进行单招合作。凡是有社会机构和个人宣传与学校有合作、可以通过“内部指标”方式确保考生录取的，考生可第一时间向教育主管部门反映，遭受相关损失的可向公安机关反映。</w:t>
      </w:r>
    </w:p>
    <w:p>
      <w:pPr>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第三十八条 </w:t>
      </w:r>
      <w:r>
        <w:rPr>
          <w:rFonts w:hint="eastAsia" w:ascii="仿宋_GB2312" w:hAnsi="等线" w:eastAsia="仿宋_GB2312" w:cs="仿宋"/>
          <w:sz w:val="32"/>
          <w:szCs w:val="32"/>
        </w:rPr>
        <w:t>学校将严格执行招生政策和招生纪律，对于在单招中违规的考生及工作人员，按《国家教育考试违规处理办法》（教育部令第33号）和《普通高等学校招生违规行为处理暂行办法》（教育部令第36号）所确定的程序和规定进行处理。欢迎考生、家长及社会对学校单招工作进行监督，学校的投诉举报电话为0731-22783813 。</w:t>
      </w:r>
    </w:p>
    <w:p>
      <w:pPr>
        <w:spacing w:line="576"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第八章  附则</w:t>
      </w:r>
    </w:p>
    <w:p>
      <w:pPr>
        <w:pStyle w:val="2"/>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第三十九条</w:t>
      </w:r>
      <w:r>
        <w:rPr>
          <w:rFonts w:hint="eastAsia" w:ascii="仿宋_GB2312" w:hAnsi="等线" w:eastAsia="仿宋_GB2312" w:cs="仿宋"/>
          <w:sz w:val="32"/>
          <w:szCs w:val="32"/>
        </w:rPr>
        <w:t xml:space="preserve"> 学校对新生入学设有“绿色通道”。家庭经济特别困难的新生，可持乡（镇）以上人民政府证明向学校学生工作处申请办理学费缓交手续。</w:t>
      </w:r>
    </w:p>
    <w:p>
      <w:pPr>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第四十条 </w:t>
      </w:r>
      <w:r>
        <w:rPr>
          <w:rFonts w:hint="eastAsia" w:ascii="仿宋_GB2312" w:hAnsi="等线" w:eastAsia="仿宋_GB2312" w:cs="仿宋"/>
          <w:sz w:val="32"/>
          <w:szCs w:val="32"/>
        </w:rPr>
        <w:t>录取考生的体检标准按照教育部、卫生部、中国残疾人联合会颁布的《普通高等学校招生体检工作指导意见》及有关补充规定执行。</w:t>
      </w:r>
    </w:p>
    <w:p>
      <w:pPr>
        <w:shd w:val="clear" w:color="auto" w:fill="FFFFFF"/>
        <w:spacing w:line="576" w:lineRule="exact"/>
        <w:ind w:firstLine="643" w:firstLineChars="200"/>
        <w:rPr>
          <w:rFonts w:hint="eastAsia" w:ascii="仿宋_GB2312" w:hAnsi="等线" w:eastAsia="仿宋_GB2312" w:cs="仿宋"/>
          <w:b/>
          <w:bCs/>
          <w:sz w:val="32"/>
          <w:szCs w:val="32"/>
        </w:rPr>
      </w:pPr>
      <w:r>
        <w:rPr>
          <w:rFonts w:hint="eastAsia" w:ascii="仿宋_GB2312" w:hAnsi="等线" w:eastAsia="仿宋_GB2312" w:cs="仿宋"/>
          <w:b/>
          <w:bCs/>
          <w:sz w:val="32"/>
          <w:szCs w:val="32"/>
        </w:rPr>
        <w:t xml:space="preserve">第四十一条 </w:t>
      </w:r>
      <w:r>
        <w:rPr>
          <w:rFonts w:hint="eastAsia" w:ascii="仿宋_GB2312" w:hAnsi="等线" w:eastAsia="仿宋_GB2312" w:cs="仿宋"/>
          <w:sz w:val="32"/>
          <w:szCs w:val="32"/>
        </w:rPr>
        <w:t>录取考生的思想政治品德考核和身体健康状况检查均采用考生报考普通高校招生考试或对口招生考试时所采集的信息，学生对提供的信息真实性负责。</w:t>
      </w:r>
    </w:p>
    <w:p>
      <w:pPr>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第四十二条</w:t>
      </w:r>
      <w:r>
        <w:rPr>
          <w:rFonts w:hint="eastAsia" w:ascii="仿宋_GB2312" w:hAnsi="等线" w:eastAsia="仿宋_GB2312" w:cs="仿宋"/>
          <w:sz w:val="32"/>
          <w:szCs w:val="32"/>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第四十三条</w:t>
      </w:r>
      <w:r>
        <w:rPr>
          <w:rFonts w:hint="eastAsia" w:ascii="仿宋_GB2312" w:hAnsi="等线" w:eastAsia="仿宋_GB2312" w:cs="仿宋"/>
          <w:sz w:val="32"/>
          <w:szCs w:val="32"/>
        </w:rPr>
        <w:t xml:space="preserve"> 本章程通过湖南省教育考试院和学校官网、招生网向社会发布，对于各种媒体节选公布的章程内容，如理解有误，以学校公布的完整单独招生章程为准。</w:t>
      </w:r>
    </w:p>
    <w:p>
      <w:pPr>
        <w:pStyle w:val="2"/>
        <w:spacing w:line="576" w:lineRule="exact"/>
        <w:ind w:firstLine="643" w:firstLineChars="200"/>
        <w:rPr>
          <w:rFonts w:hint="eastAsia" w:ascii="仿宋_GB2312" w:hAnsi="等线" w:eastAsia="仿宋_GB2312" w:cs="仿宋"/>
          <w:sz w:val="32"/>
          <w:szCs w:val="32"/>
        </w:rPr>
      </w:pPr>
      <w:r>
        <w:rPr>
          <w:rFonts w:hint="eastAsia" w:ascii="仿宋_GB2312" w:hAnsi="等线" w:eastAsia="仿宋_GB2312" w:cs="仿宋"/>
          <w:b/>
          <w:bCs/>
          <w:sz w:val="32"/>
          <w:szCs w:val="32"/>
        </w:rPr>
        <w:t xml:space="preserve">第四十四条 </w:t>
      </w:r>
      <w:r>
        <w:rPr>
          <w:rFonts w:hint="eastAsia" w:ascii="仿宋_GB2312" w:hAnsi="等线" w:eastAsia="仿宋_GB2312" w:cs="仿宋"/>
          <w:sz w:val="32"/>
          <w:szCs w:val="32"/>
        </w:rPr>
        <w:t>学校招生联系方式</w:t>
      </w:r>
    </w:p>
    <w:p>
      <w:pPr>
        <w:pStyle w:val="2"/>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通信地址：湖南省株洲市石峰区田心大道1111 号(云龙校区)                                    </w:t>
      </w:r>
    </w:p>
    <w:p>
      <w:pPr>
        <w:pStyle w:val="2"/>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邮政编码：412001   </w:t>
      </w:r>
    </w:p>
    <w:p>
      <w:pPr>
        <w:pStyle w:val="2"/>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招生咨询电话： 0731-22783888 22029116 22783963 </w:t>
      </w:r>
    </w:p>
    <w:p>
      <w:pPr>
        <w:pStyle w:val="2"/>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招生咨询邮箱：  </w:t>
      </w:r>
      <w:r>
        <w:rPr>
          <w:rFonts w:hint="eastAsia" w:ascii="仿宋_GB2312" w:hAnsi="等线" w:eastAsia="仿宋_GB2312" w:cs="仿宋"/>
          <w:sz w:val="32"/>
          <w:szCs w:val="32"/>
        </w:rPr>
        <w:fldChar w:fldCharType="begin"/>
      </w:r>
      <w:r>
        <w:rPr>
          <w:rFonts w:hint="eastAsia" w:ascii="仿宋_GB2312" w:hAnsi="等线" w:eastAsia="仿宋_GB2312" w:cs="仿宋"/>
          <w:sz w:val="32"/>
          <w:szCs w:val="32"/>
        </w:rPr>
        <w:instrText xml:space="preserve"> HYPERLINK "mailto:beishuang0106@163.com" </w:instrText>
      </w:r>
      <w:r>
        <w:rPr>
          <w:rFonts w:hint="eastAsia" w:ascii="仿宋_GB2312" w:hAnsi="等线" w:eastAsia="仿宋_GB2312" w:cs="仿宋"/>
          <w:sz w:val="32"/>
          <w:szCs w:val="32"/>
        </w:rPr>
        <w:fldChar w:fldCharType="separate"/>
      </w:r>
      <w:r>
        <w:rPr>
          <w:rStyle w:val="14"/>
          <w:rFonts w:hint="eastAsia" w:ascii="仿宋_GB2312" w:hAnsi="等线" w:eastAsia="仿宋_GB2312" w:cs="仿宋"/>
          <w:color w:val="auto"/>
          <w:sz w:val="32"/>
          <w:szCs w:val="32"/>
          <w:u w:val="none"/>
        </w:rPr>
        <w:t>beishuang0106@163.com</w:t>
      </w:r>
      <w:r>
        <w:rPr>
          <w:rFonts w:hint="eastAsia" w:ascii="仿宋_GB2312" w:hAnsi="等线" w:eastAsia="仿宋_GB2312" w:cs="仿宋"/>
          <w:sz w:val="32"/>
          <w:szCs w:val="32"/>
        </w:rPr>
        <w:fldChar w:fldCharType="end"/>
      </w:r>
      <w:r>
        <w:rPr>
          <w:rFonts w:hint="eastAsia" w:ascii="仿宋_GB2312" w:hAnsi="等线" w:eastAsia="仿宋_GB2312" w:cs="仿宋"/>
          <w:sz w:val="32"/>
          <w:szCs w:val="32"/>
        </w:rPr>
        <w:t xml:space="preserve">    </w:t>
      </w:r>
    </w:p>
    <w:p>
      <w:pPr>
        <w:pStyle w:val="2"/>
        <w:spacing w:line="576" w:lineRule="exact"/>
        <w:ind w:firstLine="640" w:firstLineChars="200"/>
        <w:rPr>
          <w:rFonts w:hint="eastAsia" w:ascii="仿宋_GB2312" w:hAnsi="等线" w:eastAsia="仿宋_GB2312" w:cs="仿宋"/>
          <w:sz w:val="32"/>
          <w:szCs w:val="32"/>
        </w:rPr>
      </w:pPr>
      <w:r>
        <w:rPr>
          <w:rFonts w:hint="eastAsia" w:ascii="仿宋_GB2312" w:hAnsi="等线" w:eastAsia="仿宋_GB2312" w:cs="仿宋"/>
          <w:sz w:val="32"/>
          <w:szCs w:val="32"/>
        </w:rPr>
        <w:t xml:space="preserve">招生信息发布网址：http://zs.hnrpc.com/       </w:t>
      </w:r>
    </w:p>
    <w:p>
      <w:pPr>
        <w:pStyle w:val="8"/>
        <w:shd w:val="clear" w:color="auto" w:fill="FFFFFF"/>
        <w:spacing w:before="0" w:beforeAutospacing="0" w:after="0" w:afterAutospacing="0" w:line="576" w:lineRule="exact"/>
        <w:ind w:firstLine="640" w:firstLineChars="200"/>
        <w:jc w:val="both"/>
        <w:rPr>
          <w:rFonts w:hint="eastAsia" w:ascii="仿宋_GB2312" w:hAnsi="等线" w:eastAsia="仿宋_GB2312" w:cs="仿宋"/>
          <w:kern w:val="2"/>
          <w:sz w:val="32"/>
          <w:szCs w:val="32"/>
        </w:rPr>
      </w:pPr>
      <w:r>
        <w:rPr>
          <w:rFonts w:hint="eastAsia" w:ascii="仿宋_GB2312" w:hAnsi="等线" w:eastAsia="仿宋_GB2312" w:cs="仿宋"/>
          <w:kern w:val="2"/>
          <w:sz w:val="32"/>
          <w:szCs w:val="32"/>
        </w:rPr>
        <w:t xml:space="preserve">监督投诉电话：  0731-22783813   </w:t>
      </w:r>
    </w:p>
    <w:p>
      <w:pPr>
        <w:shd w:val="clear" w:color="auto" w:fill="FFFFFF"/>
        <w:spacing w:line="576" w:lineRule="exact"/>
        <w:ind w:firstLine="643" w:firstLineChars="200"/>
        <w:rPr>
          <w:rFonts w:ascii="仿宋_GB2312" w:hAnsi="等线" w:eastAsia="仿宋_GB2312" w:cs="仿宋"/>
          <w:sz w:val="32"/>
          <w:szCs w:val="32"/>
          <w:shd w:val="clear" w:color="auto" w:fill="FFFFFF"/>
        </w:rPr>
      </w:pPr>
      <w:r>
        <w:rPr>
          <w:rFonts w:hint="eastAsia" w:ascii="仿宋_GB2312" w:hAnsi="等线" w:eastAsia="仿宋_GB2312" w:cs="仿宋"/>
          <w:b/>
          <w:bCs/>
          <w:sz w:val="32"/>
          <w:szCs w:val="32"/>
        </w:rPr>
        <w:t xml:space="preserve">第四十五条 </w:t>
      </w:r>
      <w:r>
        <w:rPr>
          <w:rFonts w:hint="eastAsia" w:ascii="仿宋_GB2312" w:hAnsi="等线" w:eastAsia="仿宋_GB2312" w:cs="仿宋"/>
          <w:sz w:val="32"/>
          <w:szCs w:val="32"/>
        </w:rPr>
        <w:t>本章程适用于学校2024年湖南省单招。其解释权属于湖南铁道职业技术学院。</w:t>
      </w:r>
      <w:r>
        <w:rPr>
          <w:rFonts w:hint="eastAsia" w:ascii="仿宋_GB2312" w:hAnsi="等线" w:eastAsia="仿宋_GB2312" w:cs="仿宋"/>
          <w:sz w:val="32"/>
          <w:szCs w:val="32"/>
          <w:shd w:val="clear" w:color="auto" w:fill="FFFFFF"/>
        </w:rPr>
        <w:t>如遇教育部、湖南省教育厅相关招生政策调整，以公布的最新政策为准。</w:t>
      </w:r>
      <w:bookmarkEnd w:id="0"/>
    </w:p>
    <w:p>
      <w:pPr>
        <w:shd w:val="clear" w:color="auto" w:fill="FFFFFF"/>
        <w:spacing w:line="576" w:lineRule="exact"/>
        <w:ind w:firstLine="640" w:firstLineChars="200"/>
        <w:rPr>
          <w:rFonts w:ascii="仿宋_GB2312" w:hAnsi="等线" w:eastAsia="仿宋_GB2312" w:cs="仿宋"/>
          <w:sz w:val="32"/>
          <w:szCs w:val="32"/>
          <w:shd w:val="clear" w:color="auto" w:fill="FFFFFF"/>
        </w:rPr>
      </w:pPr>
      <w:r>
        <w:rPr>
          <w:rFonts w:ascii="仿宋_GB2312" w:hAnsi="等线" w:eastAsia="仿宋_GB2312" w:cs="仿宋"/>
          <w:sz w:val="32"/>
          <w:szCs w:val="32"/>
          <w:shd w:val="clear" w:color="auto" w:fill="FFFFFF"/>
        </w:rPr>
        <w:t xml:space="preserve">             </w:t>
      </w:r>
    </w:p>
    <w:p>
      <w:pPr>
        <w:shd w:val="clear" w:color="auto" w:fill="FFFFFF"/>
        <w:spacing w:line="576" w:lineRule="exact"/>
        <w:ind w:firstLine="3840" w:firstLineChars="1200"/>
        <w:rPr>
          <w:rFonts w:ascii="仿宋_GB2312" w:hAnsi="等线" w:eastAsia="仿宋_GB2312" w:cs="仿宋"/>
          <w:sz w:val="32"/>
          <w:szCs w:val="32"/>
          <w:shd w:val="clear" w:color="auto" w:fill="FFFFFF"/>
        </w:rPr>
      </w:pPr>
      <w:r>
        <w:rPr>
          <w:rFonts w:ascii="仿宋_GB2312" w:hAnsi="等线" w:eastAsia="仿宋_GB2312" w:cs="仿宋"/>
          <w:sz w:val="32"/>
          <w:szCs w:val="32"/>
          <w:shd w:val="clear" w:color="auto" w:fill="FFFFFF"/>
        </w:rPr>
        <w:t xml:space="preserve"> </w:t>
      </w:r>
      <w:r>
        <w:rPr>
          <w:rFonts w:hint="eastAsia" w:ascii="仿宋_GB2312" w:hAnsi="等线" w:eastAsia="仿宋_GB2312" w:cs="仿宋"/>
          <w:sz w:val="32"/>
          <w:szCs w:val="32"/>
          <w:shd w:val="clear" w:color="auto" w:fill="FFFFFF"/>
        </w:rPr>
        <w:t>湖南铁道职业技术学院</w:t>
      </w:r>
    </w:p>
    <w:p>
      <w:pPr>
        <w:shd w:val="clear" w:color="auto" w:fill="FFFFFF"/>
        <w:spacing w:line="576" w:lineRule="exact"/>
        <w:ind w:firstLine="640" w:firstLineChars="200"/>
        <w:rPr>
          <w:rFonts w:hint="eastAsia" w:ascii="仿宋_GB2312" w:eastAsia="仿宋_GB2312"/>
          <w:sz w:val="32"/>
          <w:szCs w:val="32"/>
        </w:rPr>
      </w:pPr>
      <w:r>
        <w:rPr>
          <w:rFonts w:hint="eastAsia" w:ascii="仿宋_GB2312" w:hAnsi="等线" w:eastAsia="仿宋_GB2312" w:cs="仿宋"/>
          <w:sz w:val="32"/>
          <w:szCs w:val="32"/>
          <w:shd w:val="clear" w:color="auto" w:fill="FFFFFF"/>
        </w:rPr>
        <w:t xml:space="preserve"> </w:t>
      </w:r>
      <w:r>
        <w:rPr>
          <w:rFonts w:ascii="仿宋_GB2312" w:hAnsi="等线" w:eastAsia="仿宋_GB2312" w:cs="仿宋"/>
          <w:sz w:val="32"/>
          <w:szCs w:val="32"/>
          <w:shd w:val="clear" w:color="auto" w:fill="FFFFFF"/>
        </w:rPr>
        <w:t xml:space="preserve">                         2024年</w:t>
      </w:r>
      <w:r>
        <w:rPr>
          <w:rFonts w:hint="eastAsia" w:ascii="仿宋_GB2312" w:hAnsi="等线" w:eastAsia="仿宋_GB2312" w:cs="仿宋"/>
          <w:sz w:val="32"/>
          <w:szCs w:val="32"/>
          <w:shd w:val="clear" w:color="auto" w:fill="FFFFFF"/>
        </w:rPr>
        <w:t>元</w:t>
      </w:r>
      <w:r>
        <w:rPr>
          <w:rFonts w:ascii="仿宋_GB2312" w:hAnsi="等线" w:eastAsia="仿宋_GB2312" w:cs="仿宋"/>
          <w:sz w:val="32"/>
          <w:szCs w:val="32"/>
          <w:shd w:val="clear" w:color="auto" w:fill="FFFFFF"/>
        </w:rPr>
        <w:t>月</w:t>
      </w:r>
    </w:p>
    <w:p>
      <w:pPr>
        <w:shd w:val="clear" w:color="auto" w:fill="FFFFFF"/>
        <w:spacing w:line="576" w:lineRule="exact"/>
        <w:ind w:firstLine="640" w:firstLineChars="200"/>
        <w:rPr>
          <w:rFonts w:hint="eastAsia" w:ascii="仿宋_GB2312" w:eastAsia="仿宋_GB2312"/>
          <w:sz w:val="32"/>
          <w:szCs w:val="32"/>
        </w:rPr>
      </w:pPr>
    </w:p>
    <w:p>
      <w:bookmarkStart w:id="2" w:name="_GoBack"/>
      <w:bookmarkEnd w:id="2"/>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8FED3"/>
    <w:multiLevelType w:val="singleLevel"/>
    <w:tmpl w:val="E128FED3"/>
    <w:lvl w:ilvl="0" w:tentative="0">
      <w:start w:val="1"/>
      <w:numFmt w:val="decimal"/>
      <w:lvlText w:val="%1."/>
      <w:lvlJc w:val="left"/>
      <w:pPr>
        <w:tabs>
          <w:tab w:val="left" w:pos="312"/>
        </w:tabs>
      </w:p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0863A00E"/>
    <w:multiLevelType w:val="singleLevel"/>
    <w:tmpl w:val="0863A00E"/>
    <w:lvl w:ilvl="0" w:tentative="0">
      <w:start w:val="1"/>
      <w:numFmt w:val="decimal"/>
      <w:lvlText w:val="%1."/>
      <w:lvlJc w:val="left"/>
      <w:pPr>
        <w:tabs>
          <w:tab w:val="left" w:pos="312"/>
        </w:tabs>
      </w:pPr>
    </w:lvl>
  </w:abstractNum>
  <w:abstractNum w:abstractNumId="3">
    <w:nsid w:val="1FC91163"/>
    <w:multiLevelType w:val="multilevel"/>
    <w:tmpl w:val="1FC91163"/>
    <w:lvl w:ilvl="0" w:tentative="0">
      <w:start w:val="1"/>
      <w:numFmt w:val="decimal"/>
      <w:pStyle w:val="1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1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F6E7A4A"/>
    <w:multiLevelType w:val="singleLevel"/>
    <w:tmpl w:val="2F6E7A4A"/>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3976216"/>
    <w:rsid w:val="2486678D"/>
    <w:rsid w:val="25000118"/>
    <w:rsid w:val="27BF7DA4"/>
    <w:rsid w:val="285F2A85"/>
    <w:rsid w:val="305E7C9F"/>
    <w:rsid w:val="370269CE"/>
    <w:rsid w:val="38DB79B7"/>
    <w:rsid w:val="47DE682B"/>
    <w:rsid w:val="54D94B02"/>
    <w:rsid w:val="5B406742"/>
    <w:rsid w:val="61D03584"/>
    <w:rsid w:val="620E30F9"/>
    <w:rsid w:val="6A985499"/>
    <w:rsid w:val="6B3F632F"/>
    <w:rsid w:val="6C2B3970"/>
    <w:rsid w:val="6D4E57E6"/>
    <w:rsid w:val="6EAF7708"/>
    <w:rsid w:val="706E32EC"/>
    <w:rsid w:val="78EF0377"/>
    <w:rsid w:val="7A2461A5"/>
    <w:rsid w:val="7DC27723"/>
    <w:rsid w:val="7E1A52E1"/>
    <w:rsid w:val="7FBC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6">
    <w:name w:val="footer"/>
    <w:basedOn w:val="1"/>
    <w:autoRedefine/>
    <w:qFormat/>
    <w:uiPriority w:val="99"/>
    <w:pPr>
      <w:tabs>
        <w:tab w:val="center" w:pos="4153"/>
        <w:tab w:val="right" w:pos="8306"/>
      </w:tabs>
      <w:snapToGrid w:val="0"/>
      <w:jc w:val="lef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1"/>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一级条标题"/>
    <w:basedOn w:val="16"/>
    <w:next w:val="17"/>
    <w:autoRedefine/>
    <w:qFormat/>
    <w:uiPriority w:val="0"/>
    <w:pPr>
      <w:numPr>
        <w:ilvl w:val="1"/>
      </w:numPr>
      <w:spacing w:beforeLines="50" w:afterLines="50"/>
      <w:outlineLvl w:val="2"/>
    </w:pPr>
  </w:style>
  <w:style w:type="paragraph" w:customStyle="1" w:styleId="1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1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2"/>
    <w:autoRedefine/>
    <w:qFormat/>
    <w:uiPriority w:val="0"/>
    <w:rPr>
      <w:rFonts w:hint="eastAsia" w:ascii="宋体" w:hAnsi="宋体" w:eastAsia="宋体" w:cs="宋体"/>
      <w:b/>
      <w:bCs/>
      <w:color w:val="000000"/>
      <w:sz w:val="21"/>
      <w:szCs w:val="21"/>
      <w:u w:val="none"/>
    </w:rPr>
  </w:style>
  <w:style w:type="character" w:customStyle="1" w:styleId="21">
    <w:name w:val="font31"/>
    <w:basedOn w:val="12"/>
    <w:autoRedefine/>
    <w:qFormat/>
    <w:uiPriority w:val="0"/>
    <w:rPr>
      <w:rFonts w:hint="eastAsia" w:ascii="仿宋_GB2312" w:eastAsia="仿宋_GB2312" w:cs="仿宋_GB2312"/>
      <w:color w:val="000000"/>
      <w:sz w:val="21"/>
      <w:szCs w:val="21"/>
      <w:u w:val="none"/>
    </w:rPr>
  </w:style>
  <w:style w:type="character" w:customStyle="1" w:styleId="22">
    <w:name w:val="font21"/>
    <w:basedOn w:val="12"/>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2"/>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2024-02-18T06:52:14Z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